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20"/>
          <w:szCs w:val="20"/>
          <w:b w:val="1"/>
          <w:bCs w:val="1"/>
          <w:color w:val="auto"/>
        </w:rPr>
        <w:t>______________________________________________________________</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SD</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Specialized Disclosure Report</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KADANT INC.</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200" w:lineRule="exact"/>
        <w:rPr>
          <w:sz w:val="24"/>
          <w:szCs w:val="24"/>
          <w:color w:val="auto"/>
        </w:rPr>
      </w:pPr>
    </w:p>
    <w:p>
      <w:pPr>
        <w:spacing w:after="0" w:line="372" w:lineRule="exact"/>
        <w:rPr>
          <w:sz w:val="24"/>
          <w:szCs w:val="24"/>
          <w:color w:val="auto"/>
        </w:rPr>
      </w:pPr>
    </w:p>
    <w:tbl>
      <w:tblPr>
        <w:tblLayout w:type="fixed"/>
        <w:tblInd w:w="20" w:type="dxa"/>
        <w:tblCellMar>
          <w:top w:w="0" w:type="dxa"/>
          <w:left w:w="0" w:type="dxa"/>
          <w:bottom w:w="0" w:type="dxa"/>
          <w:right w:w="0" w:type="dxa"/>
        </w:tblCellMar>
      </w:tblPr>
      <w:tr>
        <w:trPr>
          <w:trHeight w:val="257"/>
        </w:trPr>
        <w:tc>
          <w:tcPr>
            <w:tcW w:w="3820" w:type="dxa"/>
            <w:vAlign w:val="bottom"/>
          </w:tcPr>
          <w:p>
            <w:pPr>
              <w:spacing w:after="0"/>
              <w:rPr>
                <w:sz w:val="20"/>
                <w:szCs w:val="20"/>
                <w:color w:val="auto"/>
              </w:rPr>
            </w:pPr>
            <w:r>
              <w:rPr>
                <w:rFonts w:ascii="Times New Roman" w:cs="Times New Roman" w:eastAsia="Times New Roman" w:hAnsi="Times New Roman"/>
                <w:sz w:val="20"/>
                <w:szCs w:val="20"/>
                <w:color w:val="auto"/>
              </w:rPr>
              <w:t>Delaware</w:t>
            </w:r>
          </w:p>
        </w:tc>
        <w:tc>
          <w:tcPr>
            <w:tcW w:w="4380" w:type="dxa"/>
            <w:vAlign w:val="bottom"/>
          </w:tcPr>
          <w:p>
            <w:pPr>
              <w:jc w:val="right"/>
              <w:ind w:right="2081"/>
              <w:spacing w:after="0"/>
              <w:rPr>
                <w:sz w:val="20"/>
                <w:szCs w:val="20"/>
                <w:color w:val="auto"/>
              </w:rPr>
            </w:pPr>
            <w:r>
              <w:rPr>
                <w:rFonts w:ascii="Times New Roman" w:cs="Times New Roman" w:eastAsia="Times New Roman" w:hAnsi="Times New Roman"/>
                <w:sz w:val="20"/>
                <w:szCs w:val="20"/>
                <w:color w:val="auto"/>
              </w:rPr>
              <w:t>001-11406</w:t>
            </w:r>
          </w:p>
        </w:tc>
        <w:tc>
          <w:tcPr>
            <w:tcW w:w="3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52-1762325</w:t>
            </w:r>
          </w:p>
        </w:tc>
      </w:tr>
      <w:tr>
        <w:trPr>
          <w:trHeight w:val="257"/>
        </w:trPr>
        <w:tc>
          <w:tcPr>
            <w:tcW w:w="3820" w:type="dxa"/>
            <w:vAlign w:val="bottom"/>
          </w:tcPr>
          <w:p>
            <w:pPr>
              <w:spacing w:after="0"/>
              <w:rPr>
                <w:sz w:val="20"/>
                <w:szCs w:val="20"/>
                <w:color w:val="auto"/>
              </w:rPr>
            </w:pPr>
            <w:r>
              <w:rPr>
                <w:rFonts w:ascii="Times New Roman" w:cs="Times New Roman" w:eastAsia="Times New Roman" w:hAnsi="Times New Roman"/>
                <w:sz w:val="20"/>
                <w:szCs w:val="20"/>
                <w:color w:val="auto"/>
              </w:rPr>
              <w:t>(State or other jurisdiction</w:t>
            </w:r>
          </w:p>
        </w:tc>
        <w:tc>
          <w:tcPr>
            <w:tcW w:w="4380" w:type="dxa"/>
            <w:vAlign w:val="bottom"/>
          </w:tcPr>
          <w:p>
            <w:pPr>
              <w:jc w:val="center"/>
              <w:ind w:right="741"/>
              <w:spacing w:after="0"/>
              <w:rPr>
                <w:sz w:val="20"/>
                <w:szCs w:val="20"/>
                <w:color w:val="auto"/>
              </w:rPr>
            </w:pPr>
            <w:r>
              <w:rPr>
                <w:rFonts w:ascii="Times New Roman" w:cs="Times New Roman" w:eastAsia="Times New Roman" w:hAnsi="Times New Roman"/>
                <w:sz w:val="20"/>
                <w:szCs w:val="20"/>
                <w:color w:val="auto"/>
                <w:w w:val="98"/>
              </w:rPr>
              <w:t>(Commission File Number)</w:t>
            </w:r>
          </w:p>
        </w:tc>
        <w:tc>
          <w:tcPr>
            <w:tcW w:w="3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(IRS Employer</w:t>
            </w:r>
          </w:p>
        </w:tc>
      </w:tr>
      <w:tr>
        <w:trPr>
          <w:trHeight w:val="258"/>
        </w:trPr>
        <w:tc>
          <w:tcPr>
            <w:tcW w:w="3820" w:type="dxa"/>
            <w:vAlign w:val="bottom"/>
          </w:tcPr>
          <w:p>
            <w:pPr>
              <w:spacing w:after="0"/>
              <w:rPr>
                <w:sz w:val="20"/>
                <w:szCs w:val="20"/>
                <w:color w:val="auto"/>
              </w:rPr>
            </w:pPr>
            <w:r>
              <w:rPr>
                <w:rFonts w:ascii="Times New Roman" w:cs="Times New Roman" w:eastAsia="Times New Roman" w:hAnsi="Times New Roman"/>
                <w:sz w:val="20"/>
                <w:szCs w:val="20"/>
                <w:color w:val="auto"/>
              </w:rPr>
              <w:t>of incorporation or organization)</w:t>
            </w:r>
          </w:p>
        </w:tc>
        <w:tc>
          <w:tcPr>
            <w:tcW w:w="4380" w:type="dxa"/>
            <w:vAlign w:val="bottom"/>
          </w:tcPr>
          <w:p>
            <w:pPr>
              <w:spacing w:after="0"/>
              <w:rPr>
                <w:sz w:val="22"/>
                <w:szCs w:val="22"/>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Identification No.)</w:t>
            </w:r>
          </w:p>
        </w:tc>
      </w:tr>
      <w:tr>
        <w:trPr>
          <w:trHeight w:val="1132"/>
        </w:trPr>
        <w:tc>
          <w:tcPr>
            <w:tcW w:w="3820" w:type="dxa"/>
            <w:vAlign w:val="bottom"/>
          </w:tcPr>
          <w:p>
            <w:pPr>
              <w:spacing w:after="0"/>
              <w:rPr>
                <w:sz w:val="20"/>
                <w:szCs w:val="20"/>
                <w:color w:val="auto"/>
              </w:rPr>
            </w:pPr>
            <w:r>
              <w:rPr>
                <w:rFonts w:ascii="Times New Roman" w:cs="Times New Roman" w:eastAsia="Times New Roman" w:hAnsi="Times New Roman"/>
                <w:sz w:val="20"/>
                <w:szCs w:val="20"/>
                <w:color w:val="auto"/>
              </w:rPr>
              <w:t>One Technology Park Drive</w:t>
            </w:r>
          </w:p>
        </w:tc>
        <w:tc>
          <w:tcPr>
            <w:tcW w:w="438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57"/>
        </w:trPr>
        <w:tc>
          <w:tcPr>
            <w:tcW w:w="3820" w:type="dxa"/>
            <w:vAlign w:val="bottom"/>
          </w:tcPr>
          <w:p>
            <w:pPr>
              <w:spacing w:after="0"/>
              <w:rPr>
                <w:sz w:val="20"/>
                <w:szCs w:val="20"/>
                <w:color w:val="auto"/>
              </w:rPr>
            </w:pPr>
            <w:r>
              <w:rPr>
                <w:rFonts w:ascii="Times New Roman" w:cs="Times New Roman" w:eastAsia="Times New Roman" w:hAnsi="Times New Roman"/>
                <w:sz w:val="20"/>
                <w:szCs w:val="20"/>
                <w:color w:val="auto"/>
              </w:rPr>
              <w:t>Westford, Massachusetts</w:t>
            </w:r>
          </w:p>
        </w:tc>
        <w:tc>
          <w:tcPr>
            <w:tcW w:w="4380" w:type="dxa"/>
            <w:vAlign w:val="bottom"/>
          </w:tcPr>
          <w:p>
            <w:pPr>
              <w:spacing w:after="0"/>
              <w:rPr>
                <w:sz w:val="22"/>
                <w:szCs w:val="22"/>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01886</w:t>
            </w:r>
          </w:p>
        </w:tc>
      </w:tr>
      <w:tr>
        <w:trPr>
          <w:trHeight w:val="258"/>
        </w:trPr>
        <w:tc>
          <w:tcPr>
            <w:tcW w:w="3820" w:type="dxa"/>
            <w:vAlign w:val="bottom"/>
          </w:tcPr>
          <w:p>
            <w:pPr>
              <w:spacing w:after="0"/>
              <w:rPr>
                <w:sz w:val="20"/>
                <w:szCs w:val="20"/>
                <w:color w:val="auto"/>
              </w:rPr>
            </w:pPr>
            <w:r>
              <w:rPr>
                <w:rFonts w:ascii="Times New Roman" w:cs="Times New Roman" w:eastAsia="Times New Roman" w:hAnsi="Times New Roman"/>
                <w:sz w:val="20"/>
                <w:szCs w:val="20"/>
                <w:color w:val="auto"/>
              </w:rPr>
              <w:t>(Address of principal executive offices)</w:t>
            </w:r>
          </w:p>
        </w:tc>
        <w:tc>
          <w:tcPr>
            <w:tcW w:w="4380" w:type="dxa"/>
            <w:vAlign w:val="bottom"/>
          </w:tcPr>
          <w:p>
            <w:pPr>
              <w:spacing w:after="0"/>
              <w:rPr>
                <w:sz w:val="22"/>
                <w:szCs w:val="22"/>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(Zip Code)</w:t>
            </w:r>
          </w:p>
        </w:tc>
      </w:tr>
    </w:tbl>
    <w:p>
      <w:pPr>
        <w:spacing w:after="0" w:line="241"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color w:val="auto"/>
        </w:rPr>
        <w:t>Stacy D. Krause</w:t>
      </w:r>
    </w:p>
    <w:p>
      <w:pPr>
        <w:spacing w:after="0" w:line="28"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0"/>
          <w:szCs w:val="20"/>
          <w:color w:val="auto"/>
        </w:rPr>
        <w:t>(978) 776-2000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(Name and telephone number, including area code, of the person to contact in connection with this report)</w:t>
      </w:r>
    </w:p>
    <w:p>
      <w:pPr>
        <w:spacing w:after="0" w:line="351" w:lineRule="exact"/>
        <w:rPr>
          <w:sz w:val="24"/>
          <w:szCs w:val="24"/>
          <w:color w:val="auto"/>
        </w:rPr>
      </w:pPr>
    </w:p>
    <w:p>
      <w:pPr>
        <w:ind w:right="940"/>
        <w:spacing w:after="0" w:line="283" w:lineRule="auto"/>
        <w:rPr>
          <w:sz w:val="20"/>
          <w:szCs w:val="20"/>
          <w:color w:val="auto"/>
        </w:rPr>
      </w:pPr>
      <w:r>
        <w:rPr>
          <w:rFonts w:ascii="Times New Roman" w:cs="Times New Roman" w:eastAsia="Times New Roman" w:hAnsi="Times New Roman"/>
          <w:sz w:val="20"/>
          <w:szCs w:val="20"/>
          <w:color w:val="auto"/>
        </w:rPr>
        <w:t>Check the appropriate box to indicate the rule pursuant to which this form is being submitted, and provide the period to which the information in this form applies:</w:t>
      </w:r>
    </w:p>
    <w:p>
      <w:pPr>
        <w:spacing w:after="0" w:line="200" w:lineRule="exact"/>
        <w:rPr>
          <w:sz w:val="24"/>
          <w:szCs w:val="24"/>
          <w:color w:val="auto"/>
        </w:rPr>
      </w:pPr>
    </w:p>
    <w:p>
      <w:pPr>
        <w:spacing w:after="0" w:line="284" w:lineRule="exact"/>
        <w:rPr>
          <w:sz w:val="24"/>
          <w:szCs w:val="24"/>
          <w:color w:val="auto"/>
        </w:rPr>
      </w:pPr>
    </w:p>
    <w:p>
      <w:pPr>
        <w:ind w:left="440" w:right="460" w:hanging="414"/>
        <w:spacing w:after="0" w:line="182" w:lineRule="auto"/>
        <w:tabs>
          <w:tab w:leader="none" w:pos="44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20"/>
          <w:szCs w:val="20"/>
          <w:color w:val="auto"/>
        </w:rPr>
        <w:t>Rule 13p-1 under the Securities Exchange Act (17 CFR 240.13p-1) for the reporting period from January 1, 2025 to December 31, 2025.</w:t>
      </w:r>
    </w:p>
    <w:p>
      <w:pPr>
        <w:spacing w:after="0" w:line="200" w:lineRule="exact"/>
        <w:rPr>
          <w:sz w:val="24"/>
          <w:szCs w:val="24"/>
          <w:color w:val="auto"/>
        </w:rPr>
      </w:pPr>
    </w:p>
    <w:p>
      <w:pPr>
        <w:spacing w:after="0" w:line="258" w:lineRule="exact"/>
        <w:rPr>
          <w:sz w:val="24"/>
          <w:szCs w:val="24"/>
          <w:color w:val="auto"/>
        </w:rPr>
      </w:pPr>
    </w:p>
    <w:p>
      <w:pPr>
        <w:ind w:left="440" w:hanging="414"/>
        <w:spacing w:after="0"/>
        <w:tabs>
          <w:tab w:leader="none" w:pos="4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0"/>
          <w:szCs w:val="20"/>
          <w:color w:val="auto"/>
        </w:rPr>
        <w:t>Rule 13q-1 under the Securities Exchange Act (17 CFR 240.13q-1) for the fiscal year ended January 3, 2026.</w:t>
      </w:r>
    </w:p>
    <w:p>
      <w:pPr>
        <w:sectPr>
          <w:pgSz w:w="11900" w:h="16838" w:orient="portrait"/>
          <w:cols w:equalWidth="0" w:num="1">
            <w:col w:w="11220"/>
          </w:cols>
          <w:pgMar w:left="320" w:top="990" w:right="35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KADANT INC.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1 - Conflict Minerals Disclosure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Items 1.01. Conflict Minerals Disclosure and Report</w:t>
      </w:r>
    </w:p>
    <w:p>
      <w:pPr>
        <w:spacing w:after="0" w:line="260" w:lineRule="exact"/>
        <w:rPr>
          <w:sz w:val="20"/>
          <w:szCs w:val="20"/>
          <w:color w:val="auto"/>
        </w:rPr>
      </w:pPr>
    </w:p>
    <w:p>
      <w:pPr>
        <w:ind w:right="640"/>
        <w:spacing w:after="0" w:line="269" w:lineRule="auto"/>
        <w:rPr>
          <w:sz w:val="20"/>
          <w:szCs w:val="20"/>
          <w:color w:val="auto"/>
        </w:rPr>
      </w:pPr>
      <w:r>
        <w:rPr>
          <w:rFonts w:ascii="Times New Roman" w:cs="Times New Roman" w:eastAsia="Times New Roman" w:hAnsi="Times New Roman"/>
          <w:sz w:val="20"/>
          <w:szCs w:val="20"/>
          <w:color w:val="auto"/>
        </w:rPr>
        <w:t>Kadant Inc. (“Kadant,” “we,” or the “Company”) submits this Specialized Disclosure Report on Form SD for the calendar year ended December 31, 2025.</w:t>
      </w:r>
    </w:p>
    <w:p>
      <w:pPr>
        <w:spacing w:after="0" w:line="20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We are a global supplier of technologies and engineered systems that drive Sustainable Industrial Processing</w:t>
      </w:r>
      <w:r>
        <w:rPr>
          <w:rFonts w:ascii="Arial" w:cs="Arial" w:eastAsia="Arial" w:hAnsi="Arial"/>
          <w:sz w:val="23"/>
          <w:szCs w:val="23"/>
          <w:color w:val="auto"/>
          <w:vertAlign w:val="superscript"/>
        </w:rPr>
        <w:t>®</w:t>
      </w:r>
      <w:r>
        <w:rPr>
          <w:rFonts w:ascii="Times New Roman" w:cs="Times New Roman" w:eastAsia="Times New Roman" w:hAnsi="Times New Roman"/>
          <w:sz w:val="20"/>
          <w:szCs w:val="20"/>
          <w:color w:val="auto"/>
        </w:rPr>
        <w:t>. Our products and services play an integral role in enhancing efficiency, optimizing energy utilization, and maximizing productivity in process industries while helping customers advance their sustainability initiatives with products that reduce waste or generate more yield with fewer inputs, particularly fiber, energy, and water. We have determined that conflict minerals, as defined in Rule 13p-1 of the Securities Exchange Act of 1934, as amended, are used in certain materials or components necessary to the functionality of certain products manufactured or contracted to be manufactured by the Company. We do not engage in mining of conflict minerals nor do we make purchases of raw ore or refined minerals and we rely on our suppliers to determine the source and origin of the conflict minerals used in our products.</w:t>
      </w:r>
    </w:p>
    <w:p>
      <w:pPr>
        <w:spacing w:after="0" w:line="21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20"/>
          <w:szCs w:val="20"/>
          <w:color w:val="auto"/>
        </w:rPr>
        <w:t>We are unable at this time to determine whether any of the conflict minerals present in the materials or components supplied to us may have originated in the Democratic Republic of the Congo or an adjoining country in circumstances that support armed groups in the region. We have prepared and filed our 2025 Conflict Minerals Report as an exhibit to this filing.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1.02. Exhibit</w:t>
      </w:r>
    </w:p>
    <w:p>
      <w:pPr>
        <w:spacing w:after="0" w:line="26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0"/>
          <w:szCs w:val="20"/>
          <w:color w:val="auto"/>
        </w:rPr>
        <w:t>A copy of the Company’s Conflict Minerals Report for the calendar year ended December 31, 2025, is included as an exhibit to this Form SD, and is also available on our website at http://investor.kadant.com/corporate-governance/highlights. The content of any website referred to in this report is included for general information only and is not incorporated by reference in this report.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3 -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3.01. Exhibits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exhibit is submitted as part of this report.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Exhibit 1.01 - Conflict Minerals Report as required by Items 1.01 and 1.02 of this form.</w:t>
      </w:r>
    </w:p>
    <w:p>
      <w:pPr>
        <w:sectPr>
          <w:pgSz w:w="11900" w:h="16838" w:orient="portrait"/>
          <w:cols w:equalWidth="0" w:num="1">
            <w:col w:w="11240"/>
          </w:cols>
          <w:pgMar w:left="320" w:top="882"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KADANT INC.</w:t>
      </w:r>
    </w:p>
    <w:p>
      <w:pPr>
        <w:spacing w:after="0" w:line="25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7"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0"/>
          <w:szCs w:val="20"/>
          <w:color w:val="auto"/>
        </w:rPr>
        <w:t>KADANT INC.</w:t>
      </w:r>
    </w:p>
    <w:p>
      <w:pPr>
        <w:spacing w:after="0" w:line="256" w:lineRule="exact"/>
        <w:rPr>
          <w:sz w:val="20"/>
          <w:szCs w:val="20"/>
          <w:color w:val="auto"/>
        </w:rPr>
      </w:pPr>
    </w:p>
    <w:p>
      <w:pPr>
        <w:ind w:left="20"/>
        <w:spacing w:after="0"/>
        <w:tabs>
          <w:tab w:leader="none" w:pos="5360" w:val="left"/>
        </w:tabs>
        <w:rPr>
          <w:sz w:val="20"/>
          <w:szCs w:val="20"/>
          <w:color w:val="auto"/>
        </w:rPr>
      </w:pPr>
      <w:r>
        <w:rPr>
          <w:rFonts w:ascii="Times New Roman" w:cs="Times New Roman" w:eastAsia="Times New Roman" w:hAnsi="Times New Roman"/>
          <w:sz w:val="20"/>
          <w:szCs w:val="20"/>
          <w:color w:val="auto"/>
        </w:rPr>
        <w:t>Date: May 29, 2026</w:t>
      </w:r>
      <w:r>
        <w:rPr>
          <w:sz w:val="20"/>
          <w:szCs w:val="20"/>
          <w:color w:val="auto"/>
        </w:rPr>
        <w:tab/>
      </w:r>
      <w:r>
        <w:rPr>
          <w:rFonts w:ascii="Times New Roman" w:cs="Times New Roman" w:eastAsia="Times New Roman" w:hAnsi="Times New Roman"/>
          <w:sz w:val="19"/>
          <w:szCs w:val="19"/>
          <w:color w:val="auto"/>
        </w:rPr>
        <w:t>By: /s/ Michael J. McKenney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22860</wp:posOffset>
            </wp:positionV>
            <wp:extent cx="35058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3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0"/>
          <w:szCs w:val="20"/>
          <w:color w:val="auto"/>
        </w:rPr>
        <w:t>Michael J. McKenney</w:t>
      </w:r>
    </w:p>
    <w:p>
      <w:pPr>
        <w:spacing w:after="0" w:line="2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sectPr>
          <w:pgSz w:w="11900" w:h="16838" w:orient="portrait"/>
          <w:cols w:equalWidth="0" w:num="1">
            <w:col w:w="11020"/>
          </w:cols>
          <w:pgMar w:left="320" w:top="1125" w:right="5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Kadant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3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Kadant Inc. (“Kadant,” “we,” or the “Company”) submits this Conflict Minerals Report for the calendar year ended December 31, 2025 pursuant to Section 13(p) of the Securities Exchange Act of 1934 and Rule 13p-1 (the “Rule”) and Form SD thereunder. The Rule imposes certain reporting obligations on Securities and Exchange Commission (“SEC”)-reporting companies whose manufactured products contain conflict minerals that are necessary to the functionality or production of their products. Conflict minerals are defined as cassiterite, columbite-tantalite, gold, wolframite, and their derivatives, tin, tantalum and tungsten. This Conflict Minerals Report has not been audited by an independent private sector auditor.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 and Products</w:t>
      </w:r>
    </w:p>
    <w:p>
      <w:pPr>
        <w:spacing w:after="0" w:line="253"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18"/>
          <w:szCs w:val="18"/>
          <w:color w:val="auto"/>
        </w:rPr>
        <w:t>We are a global supplier of technologies and engineered systems that drive Sustainable Industrial Processing</w:t>
      </w:r>
      <w:r>
        <w:rPr>
          <w:rFonts w:ascii="Arial" w:cs="Arial" w:eastAsia="Arial" w:hAnsi="Arial"/>
          <w:sz w:val="23"/>
          <w:szCs w:val="23"/>
          <w:color w:val="auto"/>
          <w:vertAlign w:val="superscript"/>
        </w:rPr>
        <w:t>®</w:t>
      </w:r>
      <w:r>
        <w:rPr>
          <w:rFonts w:ascii="Times New Roman" w:cs="Times New Roman" w:eastAsia="Times New Roman" w:hAnsi="Times New Roman"/>
          <w:sz w:val="18"/>
          <w:szCs w:val="18"/>
          <w:color w:val="auto"/>
        </w:rPr>
        <w:t>. We have determined that certain conflict minerals are used in materials and components necessary to the functionality of certain products manufactured or contracted to be manufactured by the Company. We do not engage in mining of conflict minerals nor do we make purchases of raw ore or refined minerals, and we rely on our suppliers to determine the source and origin of the conflict minerals used in our products.</w:t>
      </w:r>
    </w:p>
    <w:p>
      <w:pPr>
        <w:spacing w:after="0" w:line="22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substantial majority of our products are manufactured from metals and other materials that do not contain conflict minerals or their derivatives, such as ductile iron castings, stainless steel and steel raw materials. However, certain of the materials and components in our equipment may contain derivatives of conflict minerals, including tungsten or certain alloys, such as red brass and bearing bronze, which contain tin.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Reasonable Country of Origin Inquiry and Due Diligence Process</w:t>
      </w:r>
    </w:p>
    <w:p>
      <w:pPr>
        <w:spacing w:after="0" w:line="2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the 2025 reporting year, we conducted a reasonable country of origin inquiry (“RCOI”) on the source and chain of custody of the conflict minerals contained in products we manufacture or contract to manufacture. Our RCOI process was conducted for the conflict minerals we identified in our products and we believe this process was reasonably designed to determine whether any of the conflict minerals originated in the Democratic Republic of the Congo or an adjoining country (the “Covered Countries”) in circumstances that support armed groups in the region, or were from recycled or scrap sources. Based on information received to date, we are unable to conclude whether the conflict minerals present in the material or components supplied to us either originated outside the Covered Countries or were from recycled or scrap sources.</w:t>
      </w:r>
    </w:p>
    <w:p>
      <w:pPr>
        <w:spacing w:after="0" w:line="214"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We designed our due diligence measures to conform, in all material respects, to the criteria set forth in the “OECD Due Diligence Guidance for Responsible Supply Chains of Minerals from Conflict-Affected and High-Risk Areas” (Third Edition). Our due diligence efforts in 2025 included the following:</w:t>
      </w:r>
    </w:p>
    <w:p>
      <w:pPr>
        <w:spacing w:after="0" w:line="203" w:lineRule="exact"/>
        <w:rPr>
          <w:sz w:val="20"/>
          <w:szCs w:val="20"/>
          <w:color w:val="auto"/>
        </w:rPr>
      </w:pPr>
    </w:p>
    <w:p>
      <w:pPr>
        <w:ind w:left="660" w:hanging="328"/>
        <w:spacing w:after="0" w:line="25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previously adopted a conflict mineral policy regarding sourcing of conflict minerals contained in materials and components supplied to us. Our policy supports the goal of the Dodd-Frank Wall Street Reform and Consumer Protection Act of 2010, which seeks to prevent armed groups engaged in human rights abuses in the Covered Countries from benefiting from the sourcing of conflict minerals from that region. To further that goal, we request information from our suppliers regarding the source and chain of custody of conflict minerals contained in the materials and components supplied to us. Our objective is to use suppliers whose conflict minerals are from recycled or scrap sources or do not originate in the Covered Countries.</w:t>
      </w:r>
    </w:p>
    <w:p>
      <w:pPr>
        <w:spacing w:after="0" w:line="25"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operations identify the materials and components in products that we manufacture or contract to manufacture that may contain conflict minerals necessary to the products, by reviewing the bill of materials or material database for such materials and components.</w:t>
      </w:r>
    </w:p>
    <w:p>
      <w:pPr>
        <w:spacing w:after="0" w:line="1" w:lineRule="exact"/>
        <w:rPr>
          <w:rFonts w:ascii="Times New Roman" w:cs="Times New Roman" w:eastAsia="Times New Roman" w:hAnsi="Times New Roman"/>
          <w:sz w:val="18"/>
          <w:szCs w:val="18"/>
          <w:color w:val="auto"/>
        </w:rPr>
      </w:pPr>
    </w:p>
    <w:p>
      <w:pPr>
        <w:ind w:left="660" w:right="140" w:hanging="328"/>
        <w:spacing w:after="0" w:line="25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operations then identify the first tier suppliers from whom these materials and components are purchased, advise these suppliers of our conflict minerals policy to determine the scope of the RCOI process. These suppliers are surveyed annually to complete a declaration designed to determine if the materials and components we purchase contain conflict minerals that originated from any of the Covered Countries. These suppliers are also requested to complete the Conflict Mineral Reporting Template developed by the Responsible Minerals Initiative, a standardized reporting template to facilitate the transfer of information through the supply chain regarding mineral country of origin and identity of the smelters and refiners which processed the necessary conflict minerals contained in a manufacturer’s products.</w:t>
      </w:r>
    </w:p>
    <w:p>
      <w:pPr>
        <w:sectPr>
          <w:pgSz w:w="11900" w:h="16838" w:orient="portrait"/>
          <w:cols w:equalWidth="0" w:num="1">
            <w:col w:w="11240"/>
          </w:cols>
          <w:pgMar w:left="320" w:top="909" w:right="339" w:bottom="1440" w:gutter="0" w:footer="0" w:header="0"/>
        </w:sectPr>
      </w:pPr>
    </w:p>
    <w:bookmarkStart w:id="4" w:name="page5"/>
    <w:bookmarkEnd w:id="4"/>
    <w:p>
      <w:pPr>
        <w:ind w:left="660" w:right="80" w:hanging="328"/>
        <w:spacing w:after="0" w:line="289" w:lineRule="auto"/>
        <w:tabs>
          <w:tab w:leader="none" w:pos="6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internal management team reviews the results of our supply chain due diligence. This team consists of members of our senior management, and includes our vice president, marketing and representatives of our legal and financial reporting groups. Our internal team oversees our conflict minerals policy and advises our manufacturing operations regarding the procedures for performing our reasonable country of origin inquiry.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Results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manufacturing operations annually survey their suppliers determined to be in scope for the RCOI process. We received responses back from approximately 89 percent of those suppliers surveyed for the 2025 RCOI. Of the suppliers that responded to our inquiries, none reported that the conflict minerals contained in their materials and components supplied to us originated from the Covered Countries. We are unable to conclude whether the conflict minerals present in the materials or components supplied to us may have originated in the Covered Countries in circumstances that support armed groups in the region. We are also unable to independently identify the facilities used to process, or countries of origins of, the conflict minerals contained in the materials and components supplied to us.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Steps to Mitigate Risk and Improve Due Diligence</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efforts continue to focus on the identification of materials and components, the identification of direct suppliers, and the distribution and collection of the supplier declarations. Because we are several steps removed from smelters and mines, we must rely on our supply chain to conduct their own due diligence on country of origin. We intend to continue to improve our due diligence process to further mitigate any risk that the necessary conflict minerals in our products could benefit armed groups in the Covered Countries, including taking the following steps as appropriate:</w:t>
      </w:r>
    </w:p>
    <w:p>
      <w:pPr>
        <w:spacing w:after="0" w:line="20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supplier management systems internally to support our supply chain due diligence efforts;</w:t>
      </w:r>
    </w:p>
    <w:p>
      <w:pPr>
        <w:spacing w:after="0" w:line="27"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communicate our expectations to our suppliers that they provide adequate sourcing information to us, including our Global Supplier Code of Conduct;</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engage with our suppliers to ensure transparency in our supply chain;</w:t>
      </w:r>
    </w:p>
    <w:p>
      <w:pPr>
        <w:spacing w:after="0" w:line="9" w:lineRule="exact"/>
        <w:rPr>
          <w:rFonts w:ascii="Times New Roman" w:cs="Times New Roman" w:eastAsia="Times New Roman" w:hAnsi="Times New Roman"/>
          <w:sz w:val="18"/>
          <w:szCs w:val="18"/>
          <w:color w:val="auto"/>
        </w:rPr>
      </w:pPr>
    </w:p>
    <w:p>
      <w:pPr>
        <w:ind w:left="660" w:right="4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additional due diligence with those suppliers who do not respond to our requests for supply chain information regarding their use of conflict minerals; and</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with suppliers who are sourcing conflict minerals from inside the Covered Countries to remove such sources from their supply chain.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following constitutes a “Safe Harbor” statement under the Private Securities Litigation Reform Act of 1995: this Conflict Minerals Report contains forward-looking statements that involve a number of risks and uncertainties, including forward-looking statements about our due diligence, supplier inquiries and our future intentions involving conflict minerals. A number of factors may affect our due diligence and inquiries, including gaps in product identification or product content information, errors or omissions of or by our suppliers, failures to provide smelter data or country of origin, and confusion or lack of knowledge concerning the requirements of the SEC’s final conflict minerals rule. These statements are based on the current expectations of our management and are neither promises nor guarantees of future performance of these actions. Subsequent events and developments may cause management’s views to change. While we may elect to update these forward-looking statements at some point in the future, we specifically disclaim any obligation to do so. These forward-looking statements should not be relied upon as representing our views as of any date subsequent to the date of this report.</w:t>
      </w:r>
    </w:p>
    <w:sectPr>
      <w:pgSz w:w="11900" w:h="16838" w:orient="portrait"/>
      <w:cols w:equalWidth="0" w:num="1">
        <w:col w:w="11220"/>
      </w:cols>
      <w:pgMar w:left="320" w:top="94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2026-05-29T09:56:05Z</dcterms:created>
  <dcterms:modified xsi:type="dcterms:W3CDTF">2026-05-29T09:56:05Z</dcterms:modified>
</cp:coreProperties>
</file>