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righ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Date of report (Date of earliest event reported): August 4, 2026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KADANT INC.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number 001-11406 </w:t>
      </w:r>
    </w:p>
    <w:tbl>
      <w:tblPr>
        <w:tblW w:w="7285" w:type="dxa"/>
        <w:jc w:val="left"/>
        <w:tblInd w:w="0" w:type="dxa"/>
        <w:tblLayout w:type="fixed"/>
        <w:tblCellMar>
          <w:top w:w="28" w:type="dxa"/>
          <w:left w:w="28" w:type="dxa"/>
          <w:bottom w:w="28" w:type="dxa"/>
          <w:right w:w="28" w:type="dxa"/>
        </w:tblCellMar>
      </w:tblPr>
      <w:tblGrid>
        <w:gridCol w:w="788"/>
        <w:gridCol w:w="692"/>
        <w:gridCol w:w="692"/>
        <w:gridCol w:w="692"/>
        <w:gridCol w:w="692"/>
        <w:gridCol w:w="732"/>
        <w:gridCol w:w="109"/>
        <w:gridCol w:w="109"/>
        <w:gridCol w:w="109"/>
        <w:gridCol w:w="780"/>
        <w:gridCol w:w="780"/>
        <w:gridCol w:w="1110"/>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52-1762325</w:t>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One Technology Park Drive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Westford, Massachusetts 01886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(978) 776-2000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left"/>
        <w:rPr/>
      </w:pPr>
      <w:r>
        <w:rPr/>
      </w:r>
    </w:p>
    <w:p>
      <w:pPr>
        <w:pStyle w:val="TextBody"/>
        <w:bidi w:val="0"/>
        <w:spacing w:lineRule="auto" w:line="331"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807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810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8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78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Securities Exchange Act of 1934:</w:t>
      </w:r>
    </w:p>
    <w:tbl>
      <w:tblPr>
        <w:tblW w:w="8602" w:type="dxa"/>
        <w:jc w:val="center"/>
        <w:tblInd w:w="0" w:type="dxa"/>
        <w:tblLayout w:type="fixed"/>
        <w:tblCellMar>
          <w:top w:w="28" w:type="dxa"/>
          <w:left w:w="28" w:type="dxa"/>
          <w:bottom w:w="28" w:type="dxa"/>
          <w:right w:w="28" w:type="dxa"/>
        </w:tblCellMar>
      </w:tblPr>
      <w:tblGrid>
        <w:gridCol w:w="950"/>
        <w:gridCol w:w="832"/>
        <w:gridCol w:w="842"/>
        <w:gridCol w:w="109"/>
        <w:gridCol w:w="109"/>
        <w:gridCol w:w="109"/>
        <w:gridCol w:w="539"/>
        <w:gridCol w:w="539"/>
        <w:gridCol w:w="541"/>
        <w:gridCol w:w="109"/>
        <w:gridCol w:w="109"/>
        <w:gridCol w:w="109"/>
        <w:gridCol w:w="1085"/>
        <w:gridCol w:w="1085"/>
        <w:gridCol w:w="1535"/>
      </w:tblGrid>
      <w:tr>
        <w:trPr/>
        <w:tc>
          <w:tcPr>
            <w:tcW w:w="95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20" w:after="283"/>
        <w:jc w:val="left"/>
        <w:rPr/>
      </w:pPr>
      <w:r>
        <w:rPr/>
      </w:r>
    </w:p>
    <w:p>
      <w:pPr>
        <w:pStyle w:val="TextBody"/>
        <w:bidi w:val="0"/>
        <w:spacing w:lineRule="auto" w:line="288" w:before="20" w:after="283"/>
        <w:jc w:val="left"/>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Emerging growth company</w:t>
      </w:r>
      <w:r>
        <w:rPr>
          <w:color w:val="000000"/>
        </w:rPr>
        <w:t xml:space="preserve"> ☐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77520"/>
                <wp:effectExtent l="0" t="0" r="0" b="0"/>
                <wp:wrapNone/>
                <wp:docPr id="1" name="Frame1"/>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200"/>
                              <w:jc w:val="left"/>
                              <w:rPr/>
                            </w:pPr>
                            <w:r>
                              <w:rPr/>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before="0" w:after="200"/>
                        <w:jc w:val="left"/>
                        <w:rPr/>
                      </w:pPr>
                      <w:r>
                        <w:rPr/>
                      </w:r>
                    </w:p>
                  </w:txbxContent>
                </v:textbox>
                <w10:wrap type="none"/>
              </v:rect>
            </w:pict>
          </mc:Fallback>
        </mc:AlternateContent>
      </w:r>
    </w:p>
    <w:p>
      <w:pPr>
        <w:pStyle w:val="TextBody"/>
        <w:bidi w:val="0"/>
        <w:spacing w:before="0" w:after="200"/>
        <w:jc w:val="center"/>
        <w:rPr/>
      </w:pPr>
      <w:r>
        <w:rPr/>
      </w:r>
    </w:p>
    <w:p>
      <w:pPr>
        <w:pStyle w:val="TextBody"/>
        <w:bidi w:val="0"/>
        <w:spacing w:lineRule="auto" w:line="331" w:before="0" w:after="0"/>
        <w:jc w:val="left"/>
        <w:rPr>
          <w:rFonts w:ascii="Times New Roman;serif" w:hAnsi="Times New Roman;serif"/>
          <w:b/>
          <w:color w:val="000000"/>
          <w:sz w:val="22"/>
        </w:rPr>
      </w:pPr>
      <w:r>
        <w:rPr>
          <w:rFonts w:ascii="Times New Roman;serif" w:hAnsi="Times New Roman;serif"/>
          <w:b/>
          <w:color w:val="000000"/>
          <w:sz w:val="22"/>
        </w:rPr>
        <w:t>KADANT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4, 2026, Kadant Inc. (the “Company”) announced its financial results for the fiscal quarter ended July 4, 2026. The full text of the press release issued in connection with the announcement is furnished as Exhibit 99.1 to this Current Report on Form 8-K.</w:t>
      </w:r>
    </w:p>
    <w:p>
      <w:pPr>
        <w:pStyle w:val="TextBody"/>
        <w:bidi w:val="0"/>
        <w:spacing w:before="0" w:after="0"/>
        <w:jc w:val="left"/>
        <w:rPr/>
      </w:pPr>
      <w:r>
        <w:rPr/>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5, 2026, the Company will hold a webcast and conference call to discuss its financial results for the fiscal quarter ended July 4, 2026. A copy of the slides that will be presented on the webcast and discussed in the conference call is furnished as Exhibit 99.2 to this Current Report on Form 8-K.</w:t>
      </w:r>
    </w:p>
    <w:p>
      <w:pPr>
        <w:pStyle w:val="TextBody"/>
        <w:bidi w:val="0"/>
        <w:spacing w:before="0" w:after="0"/>
        <w:ind w:left="0" w:right="0" w:firstLine="90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in Item 2.02 and Item 7.01 of this Form 8-K (including Exhibits 99.1 and 99.2)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 except as expressly set forth by specific reference in such a filing.</w:t>
      </w:r>
    </w:p>
    <w:p>
      <w:pPr>
        <w:pStyle w:val="TextBody"/>
        <w:bidi w:val="0"/>
        <w:spacing w:before="0" w:after="0"/>
        <w:ind w:left="0" w:right="0" w:firstLine="900"/>
        <w:jc w:val="left"/>
        <w:rPr/>
      </w:pPr>
      <w:r>
        <w:rPr/>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ind w:left="0" w:right="0" w:hanging="900"/>
        <w:jc w:val="left"/>
        <w:rPr/>
      </w:pPr>
      <w:r>
        <w:rPr/>
      </w:r>
    </w:p>
    <w:tbl>
      <w:tblPr>
        <w:tblW w:w="10205" w:type="dxa"/>
        <w:jc w:val="left"/>
        <w:tblInd w:w="0" w:type="dxa"/>
        <w:tblLayout w:type="fixed"/>
        <w:tblCellMar>
          <w:top w:w="28" w:type="dxa"/>
          <w:left w:w="28" w:type="dxa"/>
          <w:bottom w:w="28" w:type="dxa"/>
          <w:right w:w="28" w:type="dxa"/>
        </w:tblCellMar>
      </w:tblPr>
      <w:tblGrid>
        <w:gridCol w:w="184"/>
        <w:gridCol w:w="162"/>
        <w:gridCol w:w="162"/>
        <w:gridCol w:w="1248"/>
        <w:gridCol w:w="1190"/>
        <w:gridCol w:w="1190"/>
        <w:gridCol w:w="1857"/>
        <w:gridCol w:w="1728"/>
        <w:gridCol w:w="2484"/>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2484" w:type="dxa"/>
            <w:tcBorders/>
            <w:vAlign w:val="center"/>
          </w:tcPr>
          <w:p>
            <w:pPr>
              <w:pStyle w:val="TableContents"/>
              <w:bidi w:val="0"/>
              <w:spacing w:before="0" w:after="283"/>
              <w:jc w:val="left"/>
              <w:rPr>
                <w:sz w:val="4"/>
                <w:szCs w:val="4"/>
              </w:rPr>
            </w:pPr>
            <w:r>
              <w:rPr>
                <w:sz w:val="4"/>
                <w:szCs w:val="4"/>
              </w:rPr>
            </w:r>
          </w:p>
        </w:tc>
      </w:tr>
      <w:tr>
        <w:trPr/>
        <w:tc>
          <w:tcPr>
            <w:tcW w:w="41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c>
        <w:tc>
          <w:tcPr>
            <w:tcW w:w="6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sz w:val="20"/>
              </w:rPr>
            </w:pPr>
            <w:r>
              <w:rPr>
                <w:rFonts w:ascii="Times New Roman;serif" w:hAnsi="Times New Roman;serif"/>
                <w:b w:val="false"/>
                <w:sz w:val="20"/>
              </w:rPr>
            </w:r>
          </w:p>
        </w:tc>
      </w:tr>
      <w:tr>
        <w:trPr/>
        <w:tc>
          <w:tcPr>
            <w:tcW w:w="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exhibits relating to Item 2.02 and Item 7.01 shall be deemed to be furnished and not filed.</w:t>
            </w:r>
          </w:p>
        </w:tc>
      </w:tr>
      <w:tr>
        <w:trPr/>
        <w:tc>
          <w:tcPr>
            <w:tcW w:w="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6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No. </w:t>
            </w:r>
          </w:p>
        </w:tc>
        <w:tc>
          <w:tcPr>
            <w:tcW w:w="6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Exhibits</w:t>
            </w:r>
          </w:p>
        </w:tc>
      </w:tr>
      <w:tr>
        <w:trPr/>
        <w:tc>
          <w:tcPr>
            <w:tcW w:w="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6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aiform8kex991q226.htm">
              <w:r>
                <w:rPr>
                  <w:rStyle w:val="InternetLink"/>
                  <w:rFonts w:ascii="Times New Roman;serif" w:hAnsi="Times New Roman;serif"/>
                  <w:b w:val="false"/>
                  <w:color w:val="0000FF"/>
                  <w:sz w:val="20"/>
                  <w:u w:val="single"/>
                </w:rPr>
                <w:t>Press Release issued by the Company on August 4, 2026 announcing its financial results.</w:t>
              </w:r>
            </w:hyperlink>
          </w:p>
        </w:tc>
      </w:tr>
      <w:tr>
        <w:trPr/>
        <w:tc>
          <w:tcPr>
            <w:tcW w:w="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6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aiform8kex992q226.htm">
              <w:r>
                <w:rPr>
                  <w:rStyle w:val="InternetLink"/>
                  <w:rFonts w:ascii="Times New Roman;serif" w:hAnsi="Times New Roman;serif"/>
                  <w:b w:val="false"/>
                  <w:color w:val="0000FF"/>
                  <w:sz w:val="20"/>
                  <w:u w:val="single"/>
                </w:rPr>
                <w:t>Slides to be presented by the Company on August 5, 2026.</w:t>
              </w:r>
            </w:hyperlink>
          </w:p>
        </w:tc>
      </w:tr>
      <w:tr>
        <w:trPr/>
        <w:tc>
          <w:tcPr>
            <w:tcW w:w="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99135"/>
                <wp:effectExtent l="0" t="0" r="0" b="0"/>
                <wp:wrapNone/>
                <wp:docPr id="2" name="Frame2"/>
                <a:graphic xmlns:a="http://schemas.openxmlformats.org/drawingml/2006/main">
                  <a:graphicData uri="http://schemas.microsoft.com/office/word/2010/wordprocessingShape">
                    <wps:wsp>
                      <wps:cNvSpPr txBox="1"/>
                      <wps:spPr>
                        <a:xfrm>
                          <a:off x="0" y="0"/>
                          <a:ext cx="6480175" cy="699135"/>
                        </a:xfrm>
                        <a:prstGeom prst="rect"/>
                        <a:solidFill>
                          <a:srgbClr val="FFFFFF"/>
                        </a:solidFill>
                      </wps:spPr>
                      <wps:txbx>
                        <w:txbxContent>
                          <w:p>
                            <w:pPr>
                              <w:pStyle w:val="TextBody"/>
                              <w:bidi w:val="0"/>
                              <w:spacing w:before="0" w:after="200"/>
                              <w:jc w:val="center"/>
                              <w:rPr/>
                            </w:pPr>
                            <w:r>
                              <w:rPr/>
                            </w:r>
                          </w:p>
                          <w:p>
                            <w:pPr>
                              <w:pStyle w:val="TextBody"/>
                              <w:bidi w:val="0"/>
                              <w:spacing w:lineRule="auto" w:line="331" w:before="0" w:after="0"/>
                              <w:jc w:val="left"/>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331" w:before="0" w:after="0"/>
                        <w:jc w:val="left"/>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200"/>
                        <w:jc w:val="left"/>
                        <w:rPr/>
                      </w:pPr>
                      <w:r>
                        <w:rPr/>
                      </w:r>
                    </w:p>
                  </w:txbxContent>
                </v:textbox>
                <w10:wrap type="none"/>
              </v:rect>
            </w:pict>
          </mc:Fallback>
        </mc:AlternateContent>
      </w:r>
    </w:p>
    <w:p>
      <w:pPr>
        <w:pStyle w:val="TextBody"/>
        <w:bidi w:val="0"/>
        <w:spacing w:before="0" w:after="200"/>
        <w:jc w:val="center"/>
        <w:rPr/>
      </w:pPr>
      <w:r>
        <w:rPr/>
      </w:r>
    </w:p>
    <w:p>
      <w:pPr>
        <w:pStyle w:val="TextBody"/>
        <w:bidi w:val="0"/>
        <w:spacing w:lineRule="auto" w:line="331" w:before="0" w:after="200"/>
        <w:jc w:val="center"/>
        <w:rPr>
          <w:rFonts w:ascii="Times New Roman;serif" w:hAnsi="Times New Roman;serif"/>
          <w:b/>
          <w:color w:val="000000"/>
          <w:sz w:val="22"/>
        </w:rPr>
      </w:pPr>
      <w:r>
        <w:rPr>
          <w:rFonts w:ascii="Times New Roman;serif" w:hAnsi="Times New Roman;serif"/>
          <w:b/>
          <w:color w:val="000000"/>
          <w:sz w:val="22"/>
        </w:rPr>
        <w:t>KADANT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0"/>
        </w:rPr>
        <w:t>Pursuant to the requirements of the Securities Exchange Act of 1934</w:t>
      </w:r>
      <w:r>
        <w:rPr>
          <w:rFonts w:ascii="Times New Roman;serif" w:hAnsi="Times New Roman;serif"/>
          <w:b w:val="false"/>
          <w:color w:val="000000"/>
          <w:sz w:val="22"/>
        </w:rPr>
        <w:t xml:space="preserve">, </w:t>
      </w:r>
      <w:r>
        <w:rPr>
          <w:rFonts w:ascii="Times New Roman;serif" w:hAnsi="Times New Roman;serif"/>
          <w:b w:val="false"/>
          <w:color w:val="000000"/>
          <w:sz w:val="20"/>
        </w:rPr>
        <w:t>as amended, the registrant has duly caused this report to be signed on its behalf by the undersigned hereunto duly authorized.</w:t>
      </w:r>
    </w:p>
    <w:tbl>
      <w:tblPr>
        <w:tblW w:w="7169" w:type="dxa"/>
        <w:jc w:val="left"/>
        <w:tblInd w:w="0" w:type="dxa"/>
        <w:tblLayout w:type="fixed"/>
        <w:tblCellMar>
          <w:top w:w="28" w:type="dxa"/>
          <w:left w:w="28" w:type="dxa"/>
          <w:bottom w:w="28" w:type="dxa"/>
          <w:right w:w="28" w:type="dxa"/>
        </w:tblCellMar>
      </w:tblPr>
      <w:tblGrid>
        <w:gridCol w:w="667"/>
        <w:gridCol w:w="587"/>
        <w:gridCol w:w="590"/>
        <w:gridCol w:w="295"/>
        <w:gridCol w:w="295"/>
        <w:gridCol w:w="296"/>
        <w:gridCol w:w="1298"/>
        <w:gridCol w:w="1298"/>
        <w:gridCol w:w="184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KADANT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4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Michael J. McKenney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McKenney</w:t>
              <w:b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23875"/>
                <wp:effectExtent l="0" t="0" r="0" b="0"/>
                <wp:wrapNone/>
                <wp:docPr id="3" name="Frame3"/>
                <a:graphic xmlns:a="http://schemas.openxmlformats.org/drawingml/2006/main">
                  <a:graphicData uri="http://schemas.microsoft.com/office/word/2010/wordprocessingShape">
                    <wps:wsp>
                      <wps:cNvSpPr txBox="1"/>
                      <wps:spPr>
                        <a:xfrm>
                          <a:off x="0" y="0"/>
                          <a:ext cx="6480175" cy="523875"/>
                        </a:xfrm>
                        <a:prstGeom prst="rect"/>
                        <a:solidFill>
                          <a:srgbClr val="FFFFFF"/>
                        </a:solidFill>
                      </wps:spPr>
                      <wps:txbx>
                        <w:txbxContent>
                          <w:p>
                            <w:pPr>
                              <w:pStyle w:val="TextBody"/>
                              <w:bidi w:val="0"/>
                              <w:spacing w:lineRule="auto" w:line="331" w:before="0" w:after="20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1" w:before="0" w:after="20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 xml:space="preserve">Exhibit 99.1 </w:t>
      </w:r>
    </w:p>
    <w:tbl>
      <w:tblPr>
        <w:tblW w:w="6473" w:type="dxa"/>
        <w:jc w:val="left"/>
        <w:tblInd w:w="0" w:type="dxa"/>
        <w:tblLayout w:type="fixed"/>
        <w:tblCellMar>
          <w:top w:w="28" w:type="dxa"/>
          <w:left w:w="28" w:type="dxa"/>
          <w:bottom w:w="28" w:type="dxa"/>
          <w:right w:w="28" w:type="dxa"/>
        </w:tblCellMar>
      </w:tblPr>
      <w:tblGrid>
        <w:gridCol w:w="124"/>
        <w:gridCol w:w="109"/>
        <w:gridCol w:w="109"/>
        <w:gridCol w:w="808"/>
        <w:gridCol w:w="808"/>
        <w:gridCol w:w="810"/>
        <w:gridCol w:w="1085"/>
        <w:gridCol w:w="1085"/>
        <w:gridCol w:w="15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FAAC1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85900" cy="2857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85900" cy="285750"/>
                          </a:xfrm>
                          <a:prstGeom prst="rect">
                            <a:avLst/>
                          </a:prstGeom>
                        </pic:spPr>
                      </pic:pic>
                    </a:graphicData>
                  </a:graphic>
                </wp:inline>
              </w:drawing>
            </w:r>
          </w:p>
        </w:tc>
        <w:tc>
          <w:tcPr>
            <w:tcW w:w="37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44"/>
              </w:rPr>
            </w:pPr>
            <w:r>
              <w:rPr>
                <w:rFonts w:ascii="Arial;sans-serif" w:hAnsi="Arial;sans-serif"/>
                <w:b w:val="false"/>
                <w:color w:val="000000"/>
                <w:sz w:val="44"/>
              </w:rPr>
              <w:t>PRESS RELEASE</w:t>
            </w:r>
          </w:p>
        </w:tc>
      </w:tr>
      <w:tr>
        <w:trPr/>
        <w:tc>
          <w:tcPr>
            <w:tcW w:w="342" w:type="dxa"/>
            <w:gridSpan w:val="3"/>
            <w:tcBorders>
              <w:left w:val="single" w:sz="4" w:space="0" w:color="FAAC1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left w:val="single" w:sz="4" w:space="0" w:color="FAAC1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16"/>
              </w:rPr>
            </w:pPr>
            <w:r>
              <w:rPr>
                <w:rFonts w:ascii="Arial;sans-serif" w:hAnsi="Arial;sans-serif"/>
                <w:b/>
                <w:color w:val="000000"/>
                <w:sz w:val="16"/>
              </w:rPr>
              <w:t>KADANT INC.</w:t>
            </w:r>
          </w:p>
        </w:tc>
        <w:tc>
          <w:tcPr>
            <w:tcW w:w="37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left w:val="single" w:sz="4" w:space="0" w:color="FAAC1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One Technology Park Drive</w:t>
            </w:r>
          </w:p>
        </w:tc>
        <w:tc>
          <w:tcPr>
            <w:tcW w:w="37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left w:val="single" w:sz="4" w:space="0" w:color="FAAC1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Westford, MA 01886 USA</w:t>
            </w:r>
          </w:p>
        </w:tc>
        <w:tc>
          <w:tcPr>
            <w:tcW w:w="37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left w:val="single" w:sz="4" w:space="0" w:color="FAAC1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Tel: +1 978-776-2000</w:t>
            </w:r>
          </w:p>
        </w:tc>
        <w:tc>
          <w:tcPr>
            <w:tcW w:w="37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left w:val="single" w:sz="4" w:space="0" w:color="FAAC1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www.kadant.com</w:t>
            </w:r>
          </w:p>
        </w:tc>
        <w:tc>
          <w:tcPr>
            <w:tcW w:w="370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10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Kadant Reports Second Quarter 2026 Results</w:t>
      </w:r>
    </w:p>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color w:val="000000"/>
          <w:sz w:val="20"/>
        </w:rPr>
        <w:t xml:space="preserve">WESTFORD, Mass., </w:t>
      </w:r>
      <w:r>
        <w:rPr>
          <w:rFonts w:ascii="Arial;sans-serif" w:hAnsi="Arial;sans-serif"/>
          <w:b w:val="false"/>
          <w:color w:val="000000"/>
          <w:sz w:val="20"/>
        </w:rPr>
        <w:t>August 4, 2026 - Kadant Inc. (NYSE: KAI) reported its financial results for the second quarter ended July 4,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Second Quarter Financial Highlights</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Bookings increased 16%</w:t>
      </w:r>
      <w:r>
        <w:rPr>
          <w:color w:val="000000"/>
        </w:rPr>
        <w:t xml:space="preserve"> </w:t>
      </w:r>
      <w:r>
        <w:rPr>
          <w:rFonts w:ascii="Arial;sans-serif" w:hAnsi="Arial;sans-serif"/>
          <w:b w:val="false"/>
          <w:color w:val="000000"/>
          <w:sz w:val="20"/>
        </w:rPr>
        <w:t>to $312 million</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Revenue increased 23% to a record $313 million</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Gross margin decreased 210 basis points to 43.8%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Net income increased 24% to $32 million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 xml:space="preserve">GAAP EPS increased 24% to $2.75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Adjusted EPS increased 26% to a record $3.42</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Adjusted EBITDA increased 30% to a record $68 million and represented 21.8% of revenue</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Operating cash flow increased 32% to $54 million</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0"/>
        </w:rPr>
        <w:t>Backlog was $340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Note: Percent changes above are based on comparison to the corresponding prior year quarter. All references to earnings per share (EPS) are to our EPS as calculated on a diluted basis. Adjusted EPS, adjusted EBITDA, adjusted EBITDA margin, free cash flow, and changes in organic revenue are non-GAAP financial measures that exclude certain items as detailed later in this press release under the heading “Use of Non-GAAP Financial Measures.”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Management Commentary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second-quarter results reflect solid execution across our businesses and robust demand for our aftermarket parts and services, resulting in record revenue and strong earnings growth," said Jeffrey L. Powell, president and chief executive officer of Kadant. "Although capital project timing remains challenged by customer caution and extended approval cycles, we continue to see evidence that interest in our products and technologies remains healthy. Our large installed base and disciplined operational execution enabled us to deliver excellent results in the quarter while positioning the company for meaningful upside as capital spending recovers.”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Second Quarter 2026 Compared to 2025</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Revenue increased 23 percent to a record $312.9 million compared to $255.3 million in 2025. Organic revenue increased eight percent, which excludes an increase of 13 percent from acquisitions, and two percent from the favorable effect of foreign currency translation. Gross margin decreased 210 basis points to 43.8 percent, compared to 45.9 percent in 2025 due in part to an unfavorable product mix and a lower gross margin profile associated with recent acquisitions.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Net income was $32.5 million, increasing 24 percent compared to $26.2 million in 2025. GAAP EPS increased 24 percent to $2.75 compared to $2.22 in 2025 and adjusted EPS increased 26 percent to a record $3.42 compared to $2.71 in 2025. Adjusted EPS excludes intangible asset amortization expense of $0.55 and acquisition-related costs of $0.13</w:t>
      </w:r>
      <w:r>
        <w:rPr>
          <w:color w:val="000000"/>
        </w:rPr>
        <w:t xml:space="preserve"> </w:t>
      </w:r>
      <w:r>
        <w:rPr>
          <w:rFonts w:ascii="Arial;sans-serif" w:hAnsi="Arial;sans-serif"/>
          <w:b w:val="false"/>
          <w:color w:val="000000"/>
          <w:sz w:val="20"/>
        </w:rPr>
        <w:t>in 2026, and intangible asset amortization expense of $0.40 and acquisition-related costs of $0.09 in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Adjusted EBITDA increased 30 percent to a record $68.1 million and represented 21.8 percent of revenue in 2026 compared to $52.4 million and 20.5 percent of revenue in 2025. Operating cash flow increased 32 percent to $53.5 million compared to $40.5 million in 2025. Free cash flow increased 17 percent to $42.6 million compared to $36.5 million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951" w:type="dxa"/>
        <w:jc w:val="left"/>
        <w:tblInd w:w="0" w:type="dxa"/>
        <w:tblLayout w:type="fixed"/>
        <w:tblCellMar>
          <w:top w:w="28" w:type="dxa"/>
          <w:left w:w="28" w:type="dxa"/>
          <w:bottom w:w="28" w:type="dxa"/>
          <w:right w:w="28" w:type="dxa"/>
        </w:tblCellMar>
      </w:tblPr>
      <w:tblGrid>
        <w:gridCol w:w="1257"/>
        <w:gridCol w:w="1109"/>
        <w:gridCol w:w="1114"/>
        <w:gridCol w:w="724"/>
        <w:gridCol w:w="724"/>
        <w:gridCol w:w="1023"/>
      </w:tblGrid>
      <w:tr>
        <w:trPr/>
        <w:tc>
          <w:tcPr>
            <w:tcW w:w="125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Kadant Reports Second Quarter 2026 Results</w:t>
            </w:r>
          </w:p>
        </w:tc>
        <w:tc>
          <w:tcPr>
            <w:tcW w:w="247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85900" cy="2857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485900" cy="285750"/>
                          </a:xfrm>
                          <a:prstGeom prst="rect">
                            <a:avLst/>
                          </a:prstGeom>
                        </pic:spPr>
                      </pic:pic>
                    </a:graphicData>
                  </a:graphic>
                </wp:inline>
              </w:drawing>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August 4, 2026</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Page 2</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Bookings increased 16 percent to $312.1 million compared to $269.4 million in 2025. Organic bookings decreased one percent, which excludes increases of 15 percent from acquisitions and two percent from the favorable effect of foreign currency translation.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Summary and Outlook</w:t>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As we look ahead to the second half of the year, we are encouraged by healthy quote activity and active commercial engagement, while the primary headwinds remain customer approval cycles and geopolitical uncertainty,” continued Mr. Powell. “We recognize that the timing of capital project spending can be uneven across our end markets and geographies, and we continue to focus on disciplined execution, cash flow generation, and servicing our customers. We expect revenue of $1.190 to $1.210 billion in 2026, revised from our previous guidance of $1.178 to $1.203 billion, and GAAP EPS of $9.78 to $10.03, revised from our previous guidance of $9.80 to $10.15. We expect adjusted EPS for 2026 of $12.43 to $12.68, revised from our prior guidance of $12.33 to $12.68. Our revised adjusted EPS guidance excludes $2.65 per share of acquisition-related costs. For the third quarter of 2026, we expect revenue of $297 to $307 million, GAAP EPS of $2.28 to $2.38, and adjusted EPS of $2.90 to $3.00, which excludes $0.62 per share of acquisition-related costs.”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Conference Call</w:t>
      </w:r>
      <w:r>
        <w:rPr>
          <w:color w:val="000000"/>
        </w:rPr>
        <w:t xml:space="preserve"> </w:t>
      </w:r>
    </w:p>
    <w:p>
      <w:pPr>
        <w:pStyle w:val="TextBody"/>
        <w:bidi w:val="0"/>
        <w:spacing w:lineRule="auto" w:line="288" w:before="0" w:after="0"/>
        <w:jc w:val="left"/>
        <w:rPr/>
      </w:pPr>
      <w:r>
        <w:rPr>
          <w:rFonts w:ascii="Arial;sans-serif" w:hAnsi="Arial;sans-serif"/>
          <w:b w:val="false"/>
          <w:color w:val="000000"/>
          <w:sz w:val="20"/>
        </w:rPr>
        <w:t>Kadant will hold a webcast with a slide presentation for investors on Wednesday, August 5, 2026, at 11:00 a.m. Eastern Time to discuss its second quarter financial performance, as well as future expectations. To listen to the call live and view the webcast, go to the “Investors” section of the Company’s website at kadant.com. Participants interested in joining the call’s live question and answer session are required to register by visiting https://register-conf.media-server.com/register/BI9d01b8eb87f846f3855390697562d249 or selecting the Q&amp;A link on our website to receive a dial-in number and unique PIN. It is recommended that you join the call 10 minutes prior to the start of the event. A replay of the webcast presentation will be available on our website throu</w:t>
      </w:r>
      <w:r>
        <w:rPr>
          <w:rFonts w:ascii="Arial;sans-serif" w:hAnsi="Arial;sans-serif"/>
          <w:b w:val="false"/>
          <w:color w:val="000000"/>
          <w:sz w:val="20"/>
          <w:shd w:fill="FFFFFF" w:val="clear"/>
        </w:rPr>
        <w:t>g</w:t>
      </w:r>
      <w:r>
        <w:rPr>
          <w:rFonts w:ascii="Arial;sans-serif" w:hAnsi="Arial;sans-serif"/>
          <w:b w:val="false"/>
          <w:color w:val="000000"/>
          <w:sz w:val="20"/>
        </w:rPr>
        <w:t>h September 4,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Prior to the call, our earnings release and the slides used in the webcast presentation will be filed with the Securities and Exchange Commission and will be available at sec.gov. After the webcast, Kadant will post its updated general investor presentation incorporating the second quarter results on its website at kadant.com under the “Investors” section.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Use of Non-GAAP Financial Measures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to the financial measures prepared in accordance with generally accepted accounting principles (GAAP), we use certain non-GAAP financial measures, including increases or decreases in revenue excluding the effect of acquisitions and foreign currency translation (organic revenue), adjusted operating income, adjusted net income, adjusted EPS, earnings before interest, taxes, depreciation, and amortization (EBITDA), adjusted EBITDA, adjusted EBITDA margin, and free cash flow. </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We use organic revenue to understand our trends and to forecast and evaluate our financial performance and compare revenue to prior periods. Organic revenue excludes revenue from acquisitions for the four quarterly reporting periods following the date of the acquisition and the effect of foreign currency translation. Revenue in the second quarter of 2026 included $33.9 million from acquisitions and a favorable foreign currency translation effect of $4.1 million compared to the second quarter of 2025. Revenue in the first six months of 2026 included $67.9 million from acquisitions and a favorable foreign currency translation effect of $13.9 million compared to the first six months of 2025. Our other non-GAAP financial measures exclude amortization expense related to acquired intangible assets, profit in inventory, and backlog (collectively, purchase accounting expenses); acquisition costs; and other income or expense, as indicated. We exclude purchase accounting expenses and acquisition costs to provide a more meaningful and consistent comparison of our operating results over time and with peer companies. While we have a history of acquisition activity, such transactions do not occur on a predictable cycle, and the size and nature of these transactions will vary. We believe it is important for investors to understand that these intangible assets were recorded as part of purchase accounting and that they contribute to revenue generation. We also exclude other items as they are not indicative of our core operating results and are not comparable to other periods, which have differing levels of incremental costs, expenditures or income, or none at all. Additionally, we use free cash flow in order to provide insight on our ability to generate cash for acquisitions and debt repayments, as well as for other investing and financing activities.</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951" w:type="dxa"/>
        <w:jc w:val="left"/>
        <w:tblInd w:w="0" w:type="dxa"/>
        <w:tblLayout w:type="fixed"/>
        <w:tblCellMar>
          <w:top w:w="28" w:type="dxa"/>
          <w:left w:w="28" w:type="dxa"/>
          <w:bottom w:w="28" w:type="dxa"/>
          <w:right w:w="28" w:type="dxa"/>
        </w:tblCellMar>
      </w:tblPr>
      <w:tblGrid>
        <w:gridCol w:w="1257"/>
        <w:gridCol w:w="1109"/>
        <w:gridCol w:w="1114"/>
        <w:gridCol w:w="724"/>
        <w:gridCol w:w="724"/>
        <w:gridCol w:w="1023"/>
      </w:tblGrid>
      <w:tr>
        <w:trPr/>
        <w:tc>
          <w:tcPr>
            <w:tcW w:w="125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Kadant Reports Second Quarter 2026 Results</w:t>
            </w:r>
          </w:p>
        </w:tc>
        <w:tc>
          <w:tcPr>
            <w:tcW w:w="247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85900" cy="28575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485900" cy="285750"/>
                          </a:xfrm>
                          <a:prstGeom prst="rect">
                            <a:avLst/>
                          </a:prstGeom>
                        </pic:spPr>
                      </pic:pic>
                    </a:graphicData>
                  </a:graphic>
                </wp:inline>
              </w:drawing>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August 4, 2026</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Page 4</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believe these non-GAAP financial measures, when taken together with the corresponding GAAP financial measures, provide meaningful supplemental information regarding our performance by excluding certain items that may not be indicative of our core business, operating results, or future outlook. We believe that the inclusion of such measures helps investors gain an understanding of our underlying operating performance and future prospects, consistent with how management measures and forecasts our performance, especially when comparing such results to previous periods or forecasts and to the performance of our competitors. Such measures are also used by us in our financial and operating decision-making and for compensation purposes. We also believe this information is responsive to investors' requests and gives them additional measures of our performance.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non-GAAP financial measures included in this press release are not meant to be considered superior to or a substitute for the results of operations or cash flows prepared in accordance with GAAP. In addition, the non-GAAP financial measures included in this press release have limitations associated with their use as compared to the most directly comparable GAAP measures, in that they may be different from, and therefore not comparable to, similar measures used by other companies.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Second Quarter</w:t>
      </w:r>
    </w:p>
    <w:p>
      <w:pPr>
        <w:pStyle w:val="TextBody"/>
        <w:bidi w:val="0"/>
        <w:spacing w:lineRule="auto" w:line="288" w:before="100" w:after="283"/>
        <w:ind w:left="0" w:right="0" w:firstLine="360"/>
        <w:jc w:val="left"/>
        <w:rPr>
          <w:rFonts w:ascii="Arial;sans-serif" w:hAnsi="Arial;sans-serif"/>
          <w:b w:val="false"/>
          <w:color w:val="000000"/>
          <w:sz w:val="20"/>
        </w:rPr>
      </w:pPr>
      <w:r>
        <w:rPr>
          <w:rFonts w:ascii="Arial;sans-serif" w:hAnsi="Arial;sans-serif"/>
          <w:b w:val="false"/>
          <w:color w:val="000000"/>
          <w:sz w:val="20"/>
        </w:rPr>
        <w:t>Adjusted operating income, adjusted EBITDA, and adjusted EBITDA margin exclude: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Pre-tax intangible asset amortization expense of $8.6 million in 2026 and $6.3 million in 2025.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Pre-tax profit in inventory and backlog amortization expense of $1.2 million in 2026 and $0.2 million in 2025.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Pre-tax acquisition costs of $0.6 million in 2026 and $0.9 million in 2025.</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Adjusted net income and adjusted EPS exclude: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After-tax intangible asset amortization expense of $6.5 million ($8.6 million net of tax of $2.1 million) in 2026 and $4.8 million ($6.3 million net of tax of $1.5 million) in 2025.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After-tax profit in inventory and backlog amortization expense of $0.9 million ($1.2 million net of tax of $0.3 million) in 2026 and $0.2 million in 2025.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After-tax acquisition costs of $0.6 million in 2026 and $0.9 million in 2025.</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Free cash flow is calculated as operating cash flow less: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Capital expenditures of $10.9 million in 2026 and $4.0 million in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First Six Months</w:t>
      </w:r>
    </w:p>
    <w:p>
      <w:pPr>
        <w:pStyle w:val="TextBody"/>
        <w:bidi w:val="0"/>
        <w:spacing w:lineRule="auto" w:line="288" w:before="100" w:after="283"/>
        <w:ind w:left="0" w:right="0" w:firstLine="360"/>
        <w:jc w:val="left"/>
        <w:rPr>
          <w:rFonts w:ascii="Arial;sans-serif" w:hAnsi="Arial;sans-serif"/>
          <w:b w:val="false"/>
          <w:color w:val="000000"/>
          <w:sz w:val="20"/>
        </w:rPr>
      </w:pPr>
      <w:r>
        <w:rPr>
          <w:rFonts w:ascii="Arial;sans-serif" w:hAnsi="Arial;sans-serif"/>
          <w:b w:val="false"/>
          <w:color w:val="000000"/>
          <w:sz w:val="20"/>
        </w:rPr>
        <w:t>Adjusted operating income, adjusted EBITDA, and adjusted EBITDA margin exclude: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Pre-tax intangible asset amortization expense of $17.0 million in 2026 and $12.7 million in 2025.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Pre-tax profit in inventory and backlog amortization expense of $2.6 million in 2026 and $0.6 million in 2025.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Pre-tax acquisition costs of $1.3 million in 2026 and $1.2 million in 2025.</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Adjusted net income and adjusted EPS exclude: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After-tax intangible asset amortization expense of $12.8 million ($17.0 million net of tax of $4.2 million) in 2026 and $9.5 million ($12.7 million net of tax of $3.2 million) in 2025.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After-tax profit in inventory and backlog amortization expense of $2.0 million ($2.6 million net of tax of $0.6 million) in 2026 and $0.5 million ($0.6 million net of tax of $0.1 million) in 2025.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After-tax acquisition costs of $1.3 million in 2026 and $1.2 million in 2025.</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Free cash flow is calculated as operating cash flow less: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Capital expenditures of $14.2 million in 2026 and $7.8 million in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Reconciliations of the non-GAAP financial measures to the most directly comparable GAAP financial measures are set forth in this press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10"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tbl>
      <w:tblPr>
        <w:tblW w:w="5951" w:type="dxa"/>
        <w:jc w:val="left"/>
        <w:tblInd w:w="0" w:type="dxa"/>
        <w:tblLayout w:type="fixed"/>
        <w:tblCellMar>
          <w:top w:w="28" w:type="dxa"/>
          <w:left w:w="28" w:type="dxa"/>
          <w:bottom w:w="28" w:type="dxa"/>
          <w:right w:w="28" w:type="dxa"/>
        </w:tblCellMar>
      </w:tblPr>
      <w:tblGrid>
        <w:gridCol w:w="1257"/>
        <w:gridCol w:w="1109"/>
        <w:gridCol w:w="1114"/>
        <w:gridCol w:w="724"/>
        <w:gridCol w:w="724"/>
        <w:gridCol w:w="1023"/>
      </w:tblGrid>
      <w:tr>
        <w:trPr/>
        <w:tc>
          <w:tcPr>
            <w:tcW w:w="125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Kadant Reports Second Quarter 2026 Results</w:t>
            </w:r>
          </w:p>
        </w:tc>
        <w:tc>
          <w:tcPr>
            <w:tcW w:w="247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85900" cy="28575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1485900" cy="285750"/>
                          </a:xfrm>
                          <a:prstGeom prst="rect">
                            <a:avLst/>
                          </a:prstGeom>
                        </pic:spPr>
                      </pic:pic>
                    </a:graphicData>
                  </a:graphic>
                </wp:inline>
              </w:drawing>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August 4, 2026</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Page 5</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center"/>
        <w:tblInd w:w="0" w:type="dxa"/>
        <w:tblLayout w:type="fixed"/>
        <w:tblCellMar>
          <w:top w:w="28" w:type="dxa"/>
          <w:left w:w="28" w:type="dxa"/>
          <w:bottom w:w="28" w:type="dxa"/>
          <w:right w:w="28" w:type="dxa"/>
        </w:tblCellMar>
      </w:tblPr>
      <w:tblGrid>
        <w:gridCol w:w="406"/>
        <w:gridCol w:w="358"/>
        <w:gridCol w:w="358"/>
        <w:gridCol w:w="898"/>
        <w:gridCol w:w="898"/>
        <w:gridCol w:w="786"/>
        <w:gridCol w:w="129"/>
        <w:gridCol w:w="129"/>
        <w:gridCol w:w="129"/>
        <w:gridCol w:w="251"/>
        <w:gridCol w:w="983"/>
        <w:gridCol w:w="129"/>
        <w:gridCol w:w="129"/>
        <w:gridCol w:w="129"/>
        <w:gridCol w:w="129"/>
        <w:gridCol w:w="251"/>
        <w:gridCol w:w="983"/>
        <w:gridCol w:w="129"/>
        <w:gridCol w:w="109"/>
        <w:gridCol w:w="109"/>
        <w:gridCol w:w="109"/>
        <w:gridCol w:w="211"/>
        <w:gridCol w:w="826"/>
        <w:gridCol w:w="109"/>
        <w:gridCol w:w="109"/>
        <w:gridCol w:w="109"/>
        <w:gridCol w:w="109"/>
        <w:gridCol w:w="211"/>
        <w:gridCol w:w="826"/>
        <w:gridCol w:w="164"/>
      </w:tblGrid>
      <w:tr>
        <w:trPr/>
        <w:tc>
          <w:tcPr>
            <w:tcW w:w="40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204"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Financial Highlights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thousands, except per share amounts and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r>
          </w:p>
        </w:tc>
      </w:tr>
      <w:tr>
        <w:trPr/>
        <w:tc>
          <w:tcPr>
            <w:tcW w:w="370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Consolidated Statement of Income</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4,</w:t>
              <w:br/>
              <w:t>2026</w:t>
            </w:r>
          </w:p>
        </w:tc>
        <w:tc>
          <w:tcPr>
            <w:tcW w:w="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4,</w:t>
              <w:br/>
              <w:t>2026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r>
      <w:tr>
        <w:trPr/>
        <w:tc>
          <w:tcPr>
            <w:tcW w:w="3704"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312,875 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255,267 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494,477 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and Operating Expenses: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138,225 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267,105 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145,162 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expenses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vAlign w:val="center"/>
          </w:tcPr>
          <w:p>
            <w:pPr>
              <w:pStyle w:val="TableContents"/>
              <w:bidi w:val="0"/>
              <w:spacing w:before="0" w:after="283"/>
              <w:jc w:val="left"/>
              <w:rPr>
                <w:sz w:val="4"/>
                <w:szCs w:val="4"/>
              </w:rPr>
            </w:pPr>
            <w:r>
              <w:rPr>
                <w:sz w:val="4"/>
                <w:szCs w:val="4"/>
              </w:rPr>
            </w:r>
          </w:p>
        </w:tc>
        <w:tc>
          <w:tcPr>
            <w:tcW w:w="258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tcPr>
          <w:p>
            <w:pPr>
              <w:pStyle w:val="TableContents"/>
              <w:bidi w:val="0"/>
              <w:spacing w:before="0" w:after="283"/>
              <w:jc w:val="left"/>
              <w:rPr>
                <w:sz w:val="4"/>
                <w:szCs w:val="4"/>
              </w:rPr>
            </w:pPr>
            <w:r>
              <w:rPr>
                <w:sz w:val="4"/>
                <w:szCs w:val="4"/>
              </w:rPr>
            </w:r>
          </w:p>
        </w:tc>
      </w:tr>
      <w:tr>
        <w:trPr/>
        <w:tc>
          <w:tcPr>
            <w:tcW w:w="370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261,995 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215,890 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419,514 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50,880 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39,377 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74,963 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Provision for Income Taxes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46,029 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36,461 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68,726 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32,847 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26,639 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51,076 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Kadant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32,468 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26,159 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50,222 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Attributable to Kadant: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12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12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11,819 </w:t>
            </w:r>
          </w:p>
        </w:tc>
        <w:tc>
          <w:tcPr>
            <w:tcW w:w="12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11,793 </w:t>
            </w:r>
          </w:p>
        </w:tc>
        <w:tc>
          <w:tcPr>
            <w:tcW w:w="12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11,784 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50"/>
        <w:gridCol w:w="356"/>
        <w:gridCol w:w="356"/>
        <w:gridCol w:w="728"/>
        <w:gridCol w:w="728"/>
        <w:gridCol w:w="680"/>
        <w:gridCol w:w="356"/>
        <w:gridCol w:w="356"/>
        <w:gridCol w:w="356"/>
        <w:gridCol w:w="356"/>
        <w:gridCol w:w="356"/>
        <w:gridCol w:w="356"/>
        <w:gridCol w:w="211"/>
        <w:gridCol w:w="721"/>
        <w:gridCol w:w="109"/>
        <w:gridCol w:w="109"/>
        <w:gridCol w:w="109"/>
        <w:gridCol w:w="109"/>
        <w:gridCol w:w="211"/>
        <w:gridCol w:w="511"/>
        <w:gridCol w:w="109"/>
        <w:gridCol w:w="109"/>
        <w:gridCol w:w="109"/>
        <w:gridCol w:w="109"/>
        <w:gridCol w:w="211"/>
        <w:gridCol w:w="721"/>
        <w:gridCol w:w="109"/>
        <w:gridCol w:w="109"/>
        <w:gridCol w:w="109"/>
        <w:gridCol w:w="109"/>
        <w:gridCol w:w="211"/>
        <w:gridCol w:w="511"/>
        <w:gridCol w:w="155"/>
      </w:tblGrid>
      <w:tr>
        <w:trPr/>
        <w:tc>
          <w:tcPr>
            <w:tcW w:w="4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r>
      <w:tr>
        <w:trPr/>
        <w:tc>
          <w:tcPr>
            <w:tcW w:w="5434" w:type="dxa"/>
            <w:gridSpan w:val="1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7"/>
              </w:rPr>
            </w:pPr>
            <w:r>
              <w:rPr>
                <w:rFonts w:ascii="Arial;sans-serif" w:hAnsi="Arial;sans-serif"/>
                <w:b/>
                <w:color w:val="000000"/>
                <w:sz w:val="17"/>
              </w:rPr>
              <w:t>Adjusted Net Income and Adjusted Diluted EPS (a)</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r>
      <w:tr>
        <w:trPr/>
        <w:tc>
          <w:tcPr>
            <w:tcW w:w="5434" w:type="dxa"/>
            <w:gridSpan w:val="1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and Diluted EPS Attributable to Kadant, as Reported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Net of Tax:</w:t>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 Asset Amortization</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Profit in Inventory and Backlog Amortization</w:t>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Acquisition Costs</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1162"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1162"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Net Income and Adjusted Diluted EPS (a,b)</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r>
          </w:p>
        </w:tc>
      </w:tr>
      <w:tr>
        <w:trPr/>
        <w:tc>
          <w:tcPr>
            <w:tcW w:w="5434"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4,</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r>
      <w:tr>
        <w:trPr/>
        <w:tc>
          <w:tcPr>
            <w:tcW w:w="5434" w:type="dxa"/>
            <w:gridSpan w:val="12"/>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and Diluted EPS Attributable to Kadant, as Reported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Net of Tax:</w:t>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Intangible Asset Amortization</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Profit in Inventory and Backlog Amortization</w:t>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 Costs</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Net Income and Adjusted Diluted EPS (a,b)</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1162"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1162"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12"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tbl>
      <w:tblPr>
        <w:tblW w:w="5951" w:type="dxa"/>
        <w:jc w:val="left"/>
        <w:tblInd w:w="0" w:type="dxa"/>
        <w:tblLayout w:type="fixed"/>
        <w:tblCellMar>
          <w:top w:w="28" w:type="dxa"/>
          <w:left w:w="28" w:type="dxa"/>
          <w:bottom w:w="28" w:type="dxa"/>
          <w:right w:w="28" w:type="dxa"/>
        </w:tblCellMar>
      </w:tblPr>
      <w:tblGrid>
        <w:gridCol w:w="1257"/>
        <w:gridCol w:w="1109"/>
        <w:gridCol w:w="1114"/>
        <w:gridCol w:w="724"/>
        <w:gridCol w:w="724"/>
        <w:gridCol w:w="1023"/>
      </w:tblGrid>
      <w:tr>
        <w:trPr/>
        <w:tc>
          <w:tcPr>
            <w:tcW w:w="125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Kadant Reports Second Quarter 2026 Results</w:t>
            </w:r>
          </w:p>
        </w:tc>
        <w:tc>
          <w:tcPr>
            <w:tcW w:w="247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85900" cy="28575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1485900" cy="285750"/>
                          </a:xfrm>
                          <a:prstGeom prst="rect">
                            <a:avLst/>
                          </a:prstGeom>
                        </pic:spPr>
                      </pic:pic>
                    </a:graphicData>
                  </a:graphic>
                </wp:inline>
              </w:drawing>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August 4, 2026</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Page 6</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center"/>
        <w:tblInd w:w="0" w:type="dxa"/>
        <w:tblLayout w:type="fixed"/>
        <w:tblCellMar>
          <w:top w:w="28" w:type="dxa"/>
          <w:left w:w="28" w:type="dxa"/>
          <w:bottom w:w="28" w:type="dxa"/>
          <w:right w:w="28" w:type="dxa"/>
        </w:tblCellMar>
      </w:tblPr>
      <w:tblGrid>
        <w:gridCol w:w="400"/>
        <w:gridCol w:w="351"/>
        <w:gridCol w:w="318"/>
        <w:gridCol w:w="304"/>
        <w:gridCol w:w="304"/>
        <w:gridCol w:w="304"/>
        <w:gridCol w:w="304"/>
        <w:gridCol w:w="304"/>
        <w:gridCol w:w="304"/>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496"/>
        <w:gridCol w:w="1700"/>
        <w:gridCol w:w="370"/>
      </w:tblGrid>
      <w:tr>
        <w:trPr/>
        <w:tc>
          <w:tcPr>
            <w:tcW w:w="40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Increase </w:t>
              <w:br/>
              <w:t>Excluding Acquisitions and FX (a,c)</w:t>
            </w:r>
          </w:p>
        </w:tc>
      </w:tr>
      <w:tr>
        <w:trPr/>
        <w:tc>
          <w:tcPr>
            <w:tcW w:w="28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Revenue by Segment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4,</w:t>
              <w:br/>
              <w:t>2026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93"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Flow Control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1,969 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Industrial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12,901 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 Handling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4,737 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19,607 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Parts and Consumables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6" w:type="dxa"/>
            <w:gridSpan w:val="3"/>
            <w:tcBorders/>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Increase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Increase </w:t>
              <w:br/>
              <w:t>Excluding Acquisitions and FX (a,c)</w:t>
            </w:r>
          </w:p>
        </w:tc>
      </w:tr>
      <w:tr>
        <w:trPr/>
        <w:tc>
          <w:tcPr>
            <w:tcW w:w="28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9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Flow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3,341 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Industrial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8,944 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 Handling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5,795 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18,080 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Parts and Consumables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Increase (Decrease)</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Excluding Acquisitions and FX (c)</w:t>
            </w:r>
          </w:p>
        </w:tc>
      </w:tr>
      <w:tr>
        <w:trPr/>
        <w:tc>
          <w:tcPr>
            <w:tcW w:w="2893"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Bookings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93"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Flow Control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7,352 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Industrial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(11,070)</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Material Handling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1,421 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(2,297)</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Percentage of Parts and Consumables Bookings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6" w:type="dxa"/>
            <w:gridSpan w:val="3"/>
            <w:tcBorders/>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b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Increase Excluding Acquisitions and FX (c)</w:t>
            </w:r>
          </w:p>
        </w:tc>
      </w:tr>
      <w:tr>
        <w:trPr/>
        <w:tc>
          <w:tcPr>
            <w:tcW w:w="28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9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Flow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13,744 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Industrial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9,952 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 Handling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24,060 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Parts and Consumables Bookings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81" w:type="dxa"/>
        <w:jc w:val="left"/>
        <w:tblInd w:w="0" w:type="dxa"/>
        <w:tblLayout w:type="fixed"/>
        <w:tblCellMar>
          <w:top w:w="28" w:type="dxa"/>
          <w:left w:w="28" w:type="dxa"/>
          <w:bottom w:w="28" w:type="dxa"/>
          <w:right w:w="28" w:type="dxa"/>
        </w:tblCellMar>
      </w:tblPr>
      <w:tblGrid>
        <w:gridCol w:w="348"/>
        <w:gridCol w:w="304"/>
        <w:gridCol w:w="304"/>
        <w:gridCol w:w="304"/>
        <w:gridCol w:w="304"/>
        <w:gridCol w:w="304"/>
        <w:gridCol w:w="591"/>
        <w:gridCol w:w="591"/>
        <w:gridCol w:w="632"/>
        <w:gridCol w:w="109"/>
        <w:gridCol w:w="109"/>
        <w:gridCol w:w="109"/>
        <w:gridCol w:w="210"/>
        <w:gridCol w:w="210"/>
        <w:gridCol w:w="210"/>
        <w:gridCol w:w="201"/>
        <w:gridCol w:w="201"/>
        <w:gridCol w:w="201"/>
        <w:gridCol w:w="270"/>
        <w:gridCol w:w="270"/>
        <w:gridCol w:w="270"/>
        <w:gridCol w:w="109"/>
        <w:gridCol w:w="109"/>
        <w:gridCol w:w="109"/>
        <w:gridCol w:w="209"/>
        <w:gridCol w:w="209"/>
        <w:gridCol w:w="211"/>
        <w:gridCol w:w="173"/>
        <w:gridCol w:w="173"/>
        <w:gridCol w:w="173"/>
        <w:gridCol w:w="250"/>
        <w:gridCol w:w="250"/>
        <w:gridCol w:w="354"/>
      </w:tblGrid>
      <w:tr>
        <w:trPr/>
        <w:tc>
          <w:tcPr>
            <w:tcW w:w="34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r>
          </w:p>
        </w:tc>
      </w:tr>
      <w:tr>
        <w:trPr/>
        <w:tc>
          <w:tcPr>
            <w:tcW w:w="368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Additional Segment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4,</w:t>
              <w:br/>
              <w:t>2026</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4,</w:t>
              <w:b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r>
      <w:tr>
        <w:trPr/>
        <w:tc>
          <w:tcPr>
            <w:tcW w:w="36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Gross Margin: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Flow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w:t>
            </w:r>
          </w:p>
        </w:tc>
      </w:tr>
      <w:tr>
        <w:trPr/>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Industrial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w:t>
            </w:r>
          </w:p>
        </w:tc>
      </w:tr>
      <w:tr>
        <w:trPr/>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 Handling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w:t>
            </w:r>
          </w:p>
        </w:tc>
      </w:tr>
      <w:tr>
        <w:trPr/>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14"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tbl>
      <w:tblPr>
        <w:tblW w:w="5951" w:type="dxa"/>
        <w:jc w:val="left"/>
        <w:tblInd w:w="0" w:type="dxa"/>
        <w:tblLayout w:type="fixed"/>
        <w:tblCellMar>
          <w:top w:w="28" w:type="dxa"/>
          <w:left w:w="28" w:type="dxa"/>
          <w:bottom w:w="28" w:type="dxa"/>
          <w:right w:w="28" w:type="dxa"/>
        </w:tblCellMar>
      </w:tblPr>
      <w:tblGrid>
        <w:gridCol w:w="1257"/>
        <w:gridCol w:w="1109"/>
        <w:gridCol w:w="1114"/>
        <w:gridCol w:w="724"/>
        <w:gridCol w:w="724"/>
        <w:gridCol w:w="1023"/>
      </w:tblGrid>
      <w:tr>
        <w:trPr/>
        <w:tc>
          <w:tcPr>
            <w:tcW w:w="125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Kadant Reports Second Quarter 2026 Results</w:t>
            </w:r>
          </w:p>
        </w:tc>
        <w:tc>
          <w:tcPr>
            <w:tcW w:w="247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85900" cy="28575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1485900" cy="285750"/>
                          </a:xfrm>
                          <a:prstGeom prst="rect">
                            <a:avLst/>
                          </a:prstGeom>
                        </pic:spPr>
                      </pic:pic>
                    </a:graphicData>
                  </a:graphic>
                </wp:inline>
              </w:drawing>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August 4, 2026</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Page 7</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018" w:type="dxa"/>
        <w:jc w:val="left"/>
        <w:tblInd w:w="0" w:type="dxa"/>
        <w:tblLayout w:type="fixed"/>
        <w:tblCellMar>
          <w:top w:w="28" w:type="dxa"/>
          <w:left w:w="28" w:type="dxa"/>
          <w:bottom w:w="28" w:type="dxa"/>
          <w:right w:w="28" w:type="dxa"/>
        </w:tblCellMar>
      </w:tblPr>
      <w:tblGrid>
        <w:gridCol w:w="472"/>
        <w:gridCol w:w="413"/>
        <w:gridCol w:w="413"/>
        <w:gridCol w:w="413"/>
        <w:gridCol w:w="413"/>
        <w:gridCol w:w="413"/>
        <w:gridCol w:w="606"/>
        <w:gridCol w:w="606"/>
        <w:gridCol w:w="647"/>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47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r>
          </w:p>
        </w:tc>
      </w:tr>
      <w:tr>
        <w:trPr/>
        <w:tc>
          <w:tcPr>
            <w:tcW w:w="43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Additional Segment Information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r>
      <w:tr>
        <w:trPr/>
        <w:tc>
          <w:tcPr>
            <w:tcW w:w="43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Flow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Industrial Processing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 Handling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Operating Income (a,b,d):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Flow Control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Industrial 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 Handling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Flow Control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Industrial Processing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 Handling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r>
          </w:p>
        </w:tc>
      </w:tr>
      <w:tr>
        <w:trPr/>
        <w:tc>
          <w:tcPr>
            <w:tcW w:w="4396"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 and Other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r>
      <w:tr>
        <w:trPr/>
        <w:tc>
          <w:tcPr>
            <w:tcW w:w="4396"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Cash Flow</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Free Cash Flow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15,544 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12,069 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30,191 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24,082 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8428" w:type="dxa"/>
        <w:jc w:val="left"/>
        <w:tblInd w:w="0" w:type="dxa"/>
        <w:tblLayout w:type="fixed"/>
        <w:tblCellMar>
          <w:top w:w="28" w:type="dxa"/>
          <w:left w:w="28" w:type="dxa"/>
          <w:bottom w:w="28" w:type="dxa"/>
          <w:right w:w="28" w:type="dxa"/>
        </w:tblCellMar>
      </w:tblPr>
      <w:tblGrid>
        <w:gridCol w:w="485"/>
        <w:gridCol w:w="425"/>
        <w:gridCol w:w="425"/>
        <w:gridCol w:w="425"/>
        <w:gridCol w:w="425"/>
        <w:gridCol w:w="425"/>
        <w:gridCol w:w="425"/>
        <w:gridCol w:w="425"/>
        <w:gridCol w:w="425"/>
        <w:gridCol w:w="109"/>
        <w:gridCol w:w="109"/>
        <w:gridCol w:w="109"/>
        <w:gridCol w:w="109"/>
        <w:gridCol w:w="109"/>
        <w:gridCol w:w="109"/>
        <w:gridCol w:w="109"/>
        <w:gridCol w:w="109"/>
        <w:gridCol w:w="109"/>
        <w:gridCol w:w="109"/>
        <w:gridCol w:w="109"/>
        <w:gridCol w:w="109"/>
        <w:gridCol w:w="109"/>
        <w:gridCol w:w="109"/>
        <w:gridCol w:w="109"/>
        <w:gridCol w:w="309"/>
        <w:gridCol w:w="461"/>
        <w:gridCol w:w="470"/>
        <w:gridCol w:w="109"/>
        <w:gridCol w:w="109"/>
        <w:gridCol w:w="109"/>
        <w:gridCol w:w="211"/>
        <w:gridCol w:w="976"/>
        <w:gridCol w:w="154"/>
      </w:tblGrid>
      <w:tr>
        <w:trPr/>
        <w:tc>
          <w:tcPr>
            <w:tcW w:w="48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Sheet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January 3,</w:t>
              <w:br/>
              <w:t>2026</w:t>
            </w:r>
          </w:p>
        </w:tc>
      </w:tr>
      <w:tr>
        <w:trPr/>
        <w:tc>
          <w:tcPr>
            <w:tcW w:w="38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Cash, Cash Equivalents, and Restricted Cash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168,698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660,907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555,621 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1,889,296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1,712,178 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721,111 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1,889,296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1,712,178 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16"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tbl>
      <w:tblPr>
        <w:tblW w:w="5951" w:type="dxa"/>
        <w:jc w:val="left"/>
        <w:tblInd w:w="0" w:type="dxa"/>
        <w:tblLayout w:type="fixed"/>
        <w:tblCellMar>
          <w:top w:w="28" w:type="dxa"/>
          <w:left w:w="28" w:type="dxa"/>
          <w:bottom w:w="28" w:type="dxa"/>
          <w:right w:w="28" w:type="dxa"/>
        </w:tblCellMar>
      </w:tblPr>
      <w:tblGrid>
        <w:gridCol w:w="1257"/>
        <w:gridCol w:w="1109"/>
        <w:gridCol w:w="1114"/>
        <w:gridCol w:w="724"/>
        <w:gridCol w:w="724"/>
        <w:gridCol w:w="1023"/>
      </w:tblGrid>
      <w:tr>
        <w:trPr/>
        <w:tc>
          <w:tcPr>
            <w:tcW w:w="125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Kadant Reports Second Quarter 2026 Results</w:t>
            </w:r>
          </w:p>
        </w:tc>
        <w:tc>
          <w:tcPr>
            <w:tcW w:w="247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85900" cy="28575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1485900" cy="285750"/>
                          </a:xfrm>
                          <a:prstGeom prst="rect">
                            <a:avLst/>
                          </a:prstGeom>
                        </pic:spPr>
                      </pic:pic>
                    </a:graphicData>
                  </a:graphic>
                </wp:inline>
              </w:drawing>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August 4, 2026</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Page 8</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388"/>
        <w:gridCol w:w="341"/>
        <w:gridCol w:w="341"/>
        <w:gridCol w:w="341"/>
        <w:gridCol w:w="341"/>
        <w:gridCol w:w="341"/>
        <w:gridCol w:w="1127"/>
        <w:gridCol w:w="692"/>
        <w:gridCol w:w="642"/>
        <w:gridCol w:w="109"/>
        <w:gridCol w:w="109"/>
        <w:gridCol w:w="109"/>
        <w:gridCol w:w="313"/>
        <w:gridCol w:w="338"/>
        <w:gridCol w:w="338"/>
        <w:gridCol w:w="131"/>
        <w:gridCol w:w="131"/>
        <w:gridCol w:w="131"/>
        <w:gridCol w:w="343"/>
        <w:gridCol w:w="338"/>
        <w:gridCol w:w="338"/>
        <w:gridCol w:w="109"/>
        <w:gridCol w:w="109"/>
        <w:gridCol w:w="109"/>
        <w:gridCol w:w="292"/>
        <w:gridCol w:w="434"/>
        <w:gridCol w:w="347"/>
        <w:gridCol w:w="122"/>
        <w:gridCol w:w="122"/>
        <w:gridCol w:w="122"/>
        <w:gridCol w:w="319"/>
        <w:gridCol w:w="388"/>
        <w:gridCol w:w="450"/>
      </w:tblGrid>
      <w:tr>
        <w:trPr/>
        <w:tc>
          <w:tcPr>
            <w:tcW w:w="3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45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r>
          </w:p>
        </w:tc>
      </w:tr>
      <w:tr>
        <w:trPr/>
        <w:tc>
          <w:tcPr>
            <w:tcW w:w="45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Adjusted Operating Income and Adjusted EBITDA Reconciliation (a)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4,</w:t>
              <w:b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4,</w:t>
              <w:b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r>
      <w:tr>
        <w:trPr/>
        <w:tc>
          <w:tcPr>
            <w:tcW w:w="45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Kadant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32,468</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57,977</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50,222</w:t>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13,182</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23,324</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17,650</w:t>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4,819</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8,952</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6,204</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50,880</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90,989</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74,963</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 Asset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8,626</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17,011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12,653</w:t>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Profit in Inventory Amortization Expense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2,610</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Backlog Amortization Expense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w:t>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1,278</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Indemnification Asset Provision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r>
      <w:tr>
        <w:trPr/>
        <w:tc>
          <w:tcPr>
            <w:tcW w:w="107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107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107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Operating Income (a,b)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61,186</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111,763</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89,448</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6,918</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13,180</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10,848</w:t>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68,104</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124,943</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100,296</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EBITDA Margin (a,h)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w:t>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Flow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24,764</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48,968</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47,195</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 Asset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1,268</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2,538</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2,440</w:t>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Profit in Inventory Amortization Expense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Backlog Amortization Expense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w:t>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Indemnification Asset Reversal (g)</w:t>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r>
      <w:tr>
        <w:trPr/>
        <w:tc>
          <w:tcPr>
            <w:tcW w:w="107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107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Operating Income (a,b)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26,032</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51,506</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50,274</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1,773</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3,700</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3,653</w:t>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27,805</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55,206</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53,927</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EBITDA Margin (a,h)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w:t>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45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Industrial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Operating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27,283</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47,196</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32,318</w:t>
            </w:r>
          </w:p>
        </w:tc>
      </w:tr>
      <w:tr>
        <w:trPr/>
        <w:tc>
          <w:tcPr>
            <w:tcW w:w="107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4,669</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9,096</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4,814</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Profit in Inventory Amortization Expense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2,610</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1,278</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Indemnification Asset Provision (g)</w:t>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w:t>
            </w:r>
          </w:p>
        </w:tc>
      </w:tr>
      <w:tr>
        <w:trPr/>
        <w:tc>
          <w:tcPr>
            <w:tcW w:w="107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Operating Income (a,b)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33,632</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60,055</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38,138</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3,899</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7,009</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4,815</w:t>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37,531</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67,064</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42,953</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EBITDA Margin (a,h)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w:t>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107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107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1523" w:type="dxa"/>
            <w:gridSpan w:val="6"/>
            <w:tcBorders/>
          </w:tcPr>
          <w:p>
            <w:pPr>
              <w:pStyle w:val="TableContents"/>
              <w:bidi w:val="0"/>
              <w:spacing w:before="0" w:after="283"/>
              <w:jc w:val="left"/>
              <w:rPr>
                <w:sz w:val="4"/>
                <w:szCs w:val="4"/>
              </w:rPr>
            </w:pPr>
            <w:r>
              <w:rPr>
                <w:sz w:val="4"/>
                <w:szCs w:val="4"/>
              </w:rPr>
            </w:r>
          </w:p>
        </w:tc>
      </w:tr>
      <w:tr>
        <w:trPr/>
        <w:tc>
          <w:tcPr>
            <w:tcW w:w="455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 Handling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10,853</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18,319</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17,474</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 Asset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2,689</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5,377</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5,399</w:t>
            </w:r>
          </w:p>
        </w:tc>
      </w:tr>
      <w:tr>
        <w:trPr/>
        <w:tc>
          <w:tcPr>
            <w:tcW w:w="107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Backlog Amortization Expense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Indemnification Asset Reversal (g)</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Operating Income (a,b)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13,542</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23,696</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23,060</w:t>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2,433</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2,357</w:t>
            </w:r>
          </w:p>
        </w:tc>
      </w:tr>
      <w:tr>
        <w:trPr/>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14,763</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26,129</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25,417</w:t>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EBITDA Margin (a,h)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w:t>
            </w:r>
          </w:p>
        </w:tc>
      </w:tr>
      <w:tr>
        <w:trPr/>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107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107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107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107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18"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tbl>
      <w:tblPr>
        <w:tblW w:w="5951" w:type="dxa"/>
        <w:jc w:val="left"/>
        <w:tblInd w:w="0" w:type="dxa"/>
        <w:tblLayout w:type="fixed"/>
        <w:tblCellMar>
          <w:top w:w="28" w:type="dxa"/>
          <w:left w:w="28" w:type="dxa"/>
          <w:bottom w:w="28" w:type="dxa"/>
          <w:right w:w="28" w:type="dxa"/>
        </w:tblCellMar>
      </w:tblPr>
      <w:tblGrid>
        <w:gridCol w:w="1257"/>
        <w:gridCol w:w="1109"/>
        <w:gridCol w:w="1114"/>
        <w:gridCol w:w="724"/>
        <w:gridCol w:w="724"/>
        <w:gridCol w:w="1023"/>
      </w:tblGrid>
      <w:tr>
        <w:trPr/>
        <w:tc>
          <w:tcPr>
            <w:tcW w:w="125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Kadant Reports Second Quarter 2026 Results</w:t>
            </w:r>
          </w:p>
        </w:tc>
        <w:tc>
          <w:tcPr>
            <w:tcW w:w="247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85900" cy="28575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1485900" cy="285750"/>
                          </a:xfrm>
                          <a:prstGeom prst="rect">
                            <a:avLst/>
                          </a:prstGeom>
                        </pic:spPr>
                      </pic:pic>
                    </a:graphicData>
                  </a:graphic>
                </wp:inline>
              </w:drawing>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August 4, 2026</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Page 9</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256"/>
        <w:gridCol w:w="225"/>
        <w:gridCol w:w="225"/>
        <w:gridCol w:w="225"/>
        <w:gridCol w:w="225"/>
        <w:gridCol w:w="225"/>
        <w:gridCol w:w="928"/>
        <w:gridCol w:w="500"/>
        <w:gridCol w:w="408"/>
        <w:gridCol w:w="134"/>
        <w:gridCol w:w="134"/>
        <w:gridCol w:w="134"/>
        <w:gridCol w:w="260"/>
        <w:gridCol w:w="932"/>
        <w:gridCol w:w="134"/>
        <w:gridCol w:w="134"/>
        <w:gridCol w:w="134"/>
        <w:gridCol w:w="134"/>
        <w:gridCol w:w="260"/>
        <w:gridCol w:w="932"/>
        <w:gridCol w:w="134"/>
        <w:gridCol w:w="134"/>
        <w:gridCol w:w="134"/>
        <w:gridCol w:w="134"/>
        <w:gridCol w:w="260"/>
        <w:gridCol w:w="932"/>
        <w:gridCol w:w="134"/>
        <w:gridCol w:w="134"/>
        <w:gridCol w:w="134"/>
        <w:gridCol w:w="134"/>
        <w:gridCol w:w="260"/>
        <w:gridCol w:w="932"/>
        <w:gridCol w:w="210"/>
      </w:tblGrid>
      <w:tr>
        <w:trPr/>
        <w:tc>
          <w:tcPr>
            <w:tcW w:w="2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21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w:t>
            </w:r>
          </w:p>
        </w:tc>
      </w:tr>
      <w:tr>
        <w:trPr/>
        <w:tc>
          <w:tcPr>
            <w:tcW w:w="3217"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Operating Income and Adjusted EBITDA Reconciliation (continued) (a)</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4,</w:t>
              <w:br/>
              <w:t>2026</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4,</w:t>
              <w:br/>
              <w:t>2026</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28,</w:t>
              <w:br/>
              <w:t>2025</w:t>
            </w:r>
          </w:p>
        </w:tc>
      </w:tr>
      <w:tr>
        <w:trPr/>
        <w:tc>
          <w:tcPr>
            <w:tcW w:w="32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(12,020)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(23,494)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(22,024)</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Depreciation Expense</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 (a)</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(11,995)</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(10,479)</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(23,456)</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(22,001)</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 </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Represents a non-GAAP financial measure. </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27"/>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Reflects new methodology, announced on February 19, 2026, to exclude intangible asset amortization expense. </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 </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27"/>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Represents the increase (decrease) resulting from the exclusion of acquisitions and from the conversion of current period amounts reported in local currencies into U.S. dollars at the exchange rate of the prior period compared to the U.S. dollar amount reported in the prior period.</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27"/>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See reconciliation to the most directly comparable GAAP financial measure under “Adjusted Operating Income and Adjusted EBITDA Reconciliation.”</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Represents amortization expense within cost of revenue associated with acquired profit in inventory.</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(f) </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Represents intangible amortization expense associated with acquired backlog.</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27"/>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Represents the reversal of or provision for indemnification assets related to the release of or establishment of tax reserves associated with uncertain tax positions.</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(h) </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Calculated as adjusted EBITDA divided by revenue in each period.</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27"/>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Includes $5.8 million paid in the second quarter of 2026 for the purchase of a previously leased manufacturing facility.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About Kadant </w:t>
      </w:r>
    </w:p>
    <w:p>
      <w:pPr>
        <w:pStyle w:val="TextBody"/>
        <w:bidi w:val="0"/>
        <w:spacing w:lineRule="auto" w:line="288" w:before="0" w:after="0"/>
        <w:jc w:val="left"/>
        <w:rPr/>
      </w:pPr>
      <w:r>
        <w:rPr>
          <w:rFonts w:ascii="Arial;sans-serif" w:hAnsi="Arial;sans-serif"/>
          <w:b w:val="false"/>
          <w:color w:val="000000"/>
          <w:sz w:val="20"/>
        </w:rPr>
        <w:t>Kadant Inc. is a global supplier of technologies and engineered systems that drive Sustainable Industrial Processing</w:t>
      </w:r>
      <w:r>
        <w:rPr>
          <w:rFonts w:ascii="Arial;sans-serif" w:hAnsi="Arial;sans-serif"/>
          <w:b w:val="false"/>
          <w:color w:val="000000"/>
          <w:sz w:val="13"/>
        </w:rPr>
        <w:t>®</w:t>
      </w:r>
      <w:r>
        <w:rPr>
          <w:rFonts w:ascii="Arial;sans-serif" w:hAnsi="Arial;sans-serif"/>
          <w:b w:val="false"/>
          <w:color w:val="000000"/>
          <w:sz w:val="20"/>
        </w:rPr>
        <w:t>. The Company’s products and services play an integral role in enhancing efficiency, optimizing energy utilization, and maximizing productivity in process industries. Kadant is based in Westford, Massachusetts, with approximately 4,000 employees in 22 countries worldwide. For more information, visit kadant.com.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Safe Harbor Statement</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The following constitutes a “Safe Harbor” statement under the Private Securities Litigation Reform Act of 1995: This press release contains forward-looking statements that involve a number of risks and uncertainties, including forward-looking statements about our future financial and operating performance, demand for our products, and economic and industry outlook. These forward-looking statements represent our expectations as of the date of this press release. We undertake no obligation to publicly update any forward-looking statement, whether as a result of new information, future events, or otherwise. These forward-looking statements are subject to known and unknown risks and uncertainties that may cause our actual results to differ materially from these forward-looking statements as a result of various important factors, including those set forth under the heading “Risk Factors” in Kadant’s Annual Report on Form 10-K for the fiscal year ended January 3, 2026 and subsequent filings with the Securities and Exchange Commission. These include risks and uncertainties relating to adverse changes in global and local economic conditions; the variability and difficulty in accurately predicting revenues from large capital equipment and systems projects; our acquisition strategy; levels of residential construction activity; reductions by our wood processing customers of their capital spending or production of oriented strand board; changes to the global timber supply; development and use of digital media; cyclical economic conditions affecting the global mining industry; demand for coal, including economic and environmental risks associated with coal; failure of our information systems or breaches of data security and cybersecurity incidents; implementation of our internal growth strategy; competition; our ability to successfully manage our manufacturing operations; supply chain constraints, inflationary pressure, price increases or shortages in raw materials; loss of key personnel and effective succession planning; future restructurings; protection of intellectual property; changes to tax laws and regulations; climate change; adequacy of our insurance coverage; global operations; policies of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20"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tbl>
      <w:tblPr>
        <w:tblW w:w="5951" w:type="dxa"/>
        <w:jc w:val="left"/>
        <w:tblInd w:w="0" w:type="dxa"/>
        <w:tblLayout w:type="fixed"/>
        <w:tblCellMar>
          <w:top w:w="28" w:type="dxa"/>
          <w:left w:w="28" w:type="dxa"/>
          <w:bottom w:w="28" w:type="dxa"/>
          <w:right w:w="28" w:type="dxa"/>
        </w:tblCellMar>
      </w:tblPr>
      <w:tblGrid>
        <w:gridCol w:w="1257"/>
        <w:gridCol w:w="1109"/>
        <w:gridCol w:w="1114"/>
        <w:gridCol w:w="724"/>
        <w:gridCol w:w="724"/>
        <w:gridCol w:w="1023"/>
      </w:tblGrid>
      <w:tr>
        <w:trPr/>
        <w:tc>
          <w:tcPr>
            <w:tcW w:w="125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Kadant Reports Second Quarter 2026 Results</w:t>
            </w:r>
          </w:p>
        </w:tc>
        <w:tc>
          <w:tcPr>
            <w:tcW w:w="247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485900" cy="28575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1485900" cy="285750"/>
                          </a:xfrm>
                          <a:prstGeom prst="rect">
                            <a:avLst/>
                          </a:prstGeom>
                        </pic:spPr>
                      </pic:pic>
                    </a:graphicData>
                  </a:graphic>
                </wp:inline>
              </w:drawing>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August 4, 2026</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Page 10</w:t>
            </w:r>
          </w:p>
        </w:tc>
        <w:tc>
          <w:tcPr>
            <w:tcW w:w="2471"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Chinese government; the variability and uncertainties in sales of capital equipment in China; currency fluctuations; changes to government regulations and policies around the world; compliance with government regulations and policies and compliance with laws; environmental laws and regulations; environmental, health and safety laws and regulations impacting the mining industry; our debt obligations; restrictions in our credit agreement and note purchase agreement; soundness of financial institutions; fluctuations in our share price; and anti-takeover provisions.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Contacts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Investor Contact Information: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Michael McKenney, 978-776-2000</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IR@kadant.com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Media Contact Information: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Wes Martz, 978-776-2000</w:t>
      </w:r>
    </w:p>
    <w:p>
      <w:pPr>
        <w:pStyle w:val="TextBody"/>
        <w:bidi w:val="0"/>
        <w:spacing w:lineRule="auto" w:line="288" w:before="0" w:after="0"/>
        <w:jc w:val="left"/>
        <w:rPr/>
      </w:pPr>
      <w:r>
        <w:rPr>
          <w:rFonts w:ascii="Arial;sans-serif" w:hAnsi="Arial;sans-serif"/>
          <w:b w:val="false"/>
          <w:color w:val="000000"/>
          <w:sz w:val="20"/>
        </w:rPr>
        <w:t>media@kadant.com</w:t>
      </w:r>
      <w:r>
        <w:rPr>
          <w:color w:val="D45D00"/>
        </w:rPr>
        <w:t xml:space="preserve"> </w:t>
      </w:r>
    </w:p>
    <w:p>
      <w:pPr>
        <w:pStyle w:val="TextBody"/>
        <w:bidi w:val="0"/>
        <w:spacing w:before="0" w:after="283"/>
        <w:jc w:val="left"/>
        <w:rPr/>
      </w:pPr>
      <w:r>
        <w:rPr/>
      </w:r>
    </w:p>
    <w:p>
      <w:pPr>
        <w:pStyle w:val="TextBody"/>
        <w:bidi w:val="0"/>
        <w:spacing w:before="0" w:after="0"/>
        <w:jc w:val="center"/>
        <w:rPr/>
      </w:pPr>
      <w:bookmarkStart w:id="0" w:name="kaiform8kex992q226.htm"/>
      <w:bookmarkStart w:id="1" w:name="kskaiform8kex992q226"/>
      <w:bookmarkEnd w:id="0"/>
      <w:bookmarkEnd w:id="1"/>
      <w:r>
        <w:rPr/>
        <w:drawing>
          <wp:inline distT="0" distB="0" distL="0" distR="0">
            <wp:extent cx="9753600" cy="548640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2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Second Quarter 2026 Business Review August 5,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The following constitutes a “Safe Harbor” statement under the Private Securities Litigation Reform Act of 1995: This presentation contains forward-looking statements that involve a number of risks and uncertainties, including forward-looking statements about our future financial and operating performance, demand for our products, and economic and industry outlook. These forward-looking statements represent our expectations as of August 4, 2026. We undertake no obligation to publicly update any forward-looking statement, whether as a result of new information, future events, or otherwise. These forward-looking statements are subject to known and unknown risks and uncertainties that may cause our actual results to differ materially from these forward-looking statements as a result of various important factors, including those set forth under the heading “Risk Factors” in Kadant’s Annual Report on Form 10-K for the fiscal year ended January 3, 2026 and subsequent filings with the Securities and Exchange Commission. These include risks and uncertainties relating to adverse changes in global and local economic conditions; the variability and difficulty in accurately predicting revenues from large capital equipment and systems projects; our acquisition strategy; levels of residential construction activity; reductions by our wood processing customers of their capital spending or production of oriented strand board; changes to the global timber supply; development and use of digital media; cyclical economic conditions affecting the global mining industry; demand for coal, including economic and environmental risks associated with coal; failure of our information systems or breaches of data security and cybersecurity incidents; implementation of our internal growth strategy; competition; our ability to successfully manage our manufacturing operations; supply chain constraints, inflationary pressure, price increases or shortages in raw materials; loss of key personnel and effective succession planning; future restructurings; protection of intellectual property; changes to tax laws and regulations; climate change; adequacy of our insurance coverage; global operations; policies of the Chinese government; the variability and uncertainties in sales of capital equipment in China; currency fluctuations; changes to government regulations and policies around the world; compliance with government regulations and policies and compliance with laws; environmental laws and regulations; environmental, health and safety laws and regulations impacting the mining industry; our debt obligations; restrictions in our credit agreement and note purchase agreement; soundness of financial institutions; fluctuations in our share price; and anti-takeover provisions. 2KAI 2Q26 BUSINESS REVIEW– AUGUST 2026 | © 2026 KADANT INC.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Use of Non-GAAP Financial Measures In addition to the financial measures prepared in accordance with U.S. generally accepted accounting principles (GAAP), we use certain non-GAAP financial measures, including increases or decreases in revenue excluding the effect of acquisitions and foreign currency translation (organic revenue), adjusted EPS, adjusted earnings before interest, taxes, depreciation, and amortization (adjusted EBITDA), adjusted EBITDA margin, adjusted operating income, and free cash flow. All references to EPS (earnings per share) are to our EPS as calculated on a diluted basis. Specific non-GAAP financial measures have been marked with an * (asterisk) within this presentation. A reconciliation of those numbers to the most directly comparable GAAP financial measures is shown within this presentation and in our second quarter 2026 earnings press release issued August 4, 2026, which is available in the Investors section of our website at investor.kadant.com under the heading News Releases. We use organic revenue to understand our trends and to forecast and evaluate our financial performance and compare revenue to prior periods. Organic revenue excludes revenue from acquisitions for the four quarterly reporting periods following the date of the acquisition and the effect of foreign currency translation. Our other non-GAAP financial measures exclude amortization expense related to acquired intangible assets, profit in inventory, and backlog (collectively, purchase accounting expenses); acquisition costs; and other income or expense, as indicated. We exclude purchase accounting expenses and acquisition costs to provide a more meaningful and consistent comparison of our operating results over time and with peer companies. While we have a history of acquisition activity, such transactions do not occur on a predictable cycle, and the size and nature of these transactions will vary. We believe it is important for investors to understand that these intangible assets were recorded as part of purchase accounting and that they contribute to revenue generation. We also exclude other items as they are not indicative of our core operating results and are not comparable to other periods, which have differing levels of incremental costs, expenditures or income, or none at all. Additionally, we use free cash flow in order to provide insight on our ability to generate cash for acquisitions and debt repayments, as well as for other investing and financing activities. We believe these non-GAAP financial measures, when taken together with the corresponding GAAP financial measures, provide meaningful supplemental information regarding our performance by excluding certain items that may not be indicative of our core business, operating results, or future outlook. We believe the inclusion of such measures helps investors gain an understanding of our underlying operating performance and future prospects, consistent with how management measures and forecasts our performance, especially when comparing such results to previous periods or forecasts and to the performance of our competitors. Such measures are also used by us in our financial and operating decision-making and for compensation purposes. We also believe this information is responsive to investors' requests and gives them additional measures of our performance. The non-GAAP financial measures included in this presentation are not meant to be considered superior to or a substitute for the results of operations or cash flows prepared in accordance with GAAP. In addition, the non-GAAP financial measures included in this presentation have limitations associated with their use as compared to the most directly comparable GAAP measures, in that they may be different from, and therefore not comparable to, similar measures used by other companies. 3 KAI 2Q26 BUSINESS REVIEW– AUGUST 2026 | © 2026 KADANT INC.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BUSINESS REVIEW Jeffrey L. Powell, President &amp; CEO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Second Quarter Highlights 5 KAI 2Q26 BUSINESS REVIEW– AUGUST 2026 | © 2026 KADANT INC. ALL RIGHTS RESERVED. • Demand remains healthy; timing remains uncertain • Resilient business model continues to perform • Profitability supported by operational discipline • Strong contributions from our recent acquisitions • Exceeded expectations across most financial metrics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Performance 6 ($ in millions, except per share amounts) Q2 26 Q2 25 Change Bookings $312.1 $269.4 +15.9% Revenue $312.9 $255.3 +22.6% Net Income $32.5 $26.2 +24.1% Adjusted EBITDA* $68.1 $52.4 +30.0% Adjusted EBITDA Margin* 21.8 % 20.5 % +130 bps EPS $2.75 $2.22 +23.9% Adjusted EPS* $3.42 $2.71 +26.2% Operating Cash Flow $53.5 $40.5 +32.2% Free Cash Flow* $42.6 $36.5 +16.6% HIGHLIGHTS • Healthy demand for aftermarket parts continued to drive bookings • Strong organic revenue growth, up 8% • Record adjusted EBITDA*, up 30% • Adjusted EPS* increased 26% • Excellent cash flows in Q2 KAI 2Q26 BUSINESS REVIEW– AUGUST 2026 | © 2026 KADANT INC.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$93.1 $93.8 $93.6 $111.5 $102.8 2Q25 3Q25 4Q25 1Q26 2Q26 7 ($ in millions) Q2 26 Q2 25 Change Bookings $102.8 $93.1 +10.5 % Revenue $100.3 $95.9 +4.5 % Adjusted EBITDA* $27.8 $27.8 +0.2 % Adjusted EBITDA Margin* 27.7 % 28.9 % -120 bps HIGHLIGHTS • Strong bookings across diverse markets, particularly in the Americas • Record aftermarket parts revenue • Strong headwinds in Europe persisted throughout the quarter • Demand expected to remain stable in the second half of 2026 ($ in millions) BOOKINGS Flow Control KAI 2Q26 BUSINESS REVIEW– AUGUST 2026 | © 2026 KADANT INC.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 in millions) Q2 26 Q2 25 Change Bookings $135.9 $105.4 +29.0% Revenue $143.8 $95.9 +49.9 % Adjusted EBITDA* $37.5 $21.3 +76.5 % Adjusted EBITDA Margin* 26.1 % 22.2 % +390 bps HIGHLIGHTS • Revenue and bookings benefited from recent acquisitions • Strong organic revenue growth of 13% achieved in Q2 • Record adjusted EBITDA* performance benefited from recent acquisitions • Commercial activity is strong, timing of capital projects remains uncertain Industrial Processing $105.4 $85.2 $121.0 $144.5 $135.9 2Q25 3Q25 4Q25 1Q26 2Q26 BOOKINGS ($ in millions) KAI 2Q26 BUSINESS REVIEW– AUGUST 2026 | © 2026 KADANT INC.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 in millions) Q2 26 Q2 25 Change Bookings $73.3 $70.9 +3.3% Revenue $68.8 $63.4 +8.5% Adjusted EBITDA* $14.8 $13.8 +6.7% Adjusted EBITDA Margin* 21.5 % 21.8 % -30 bps HIGHLIGHTS • Steady year-over-year growth • Healthy aftermarket parts demand • Strong revenue volume contributed to adjusted EBITDA* growth of 7% • Positioned for growth once project conversions accelerate Material Handling $70.9 $59.3 $55.4 $64.7 $73.3 2Q25 3Q25 4Q25 1Q26 2Q26 BOOKINGS ($ in millions) KAI 2Q26 BUSINESS REVIEW– AUGUST 2026 | © 2026 KADANT INC.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Business Outlook • Customer engagement and quote activity remain high • Demand expected to strengthen relative to the first half of the year as commercial activity remains healthy • Improving capital equipment environment although timing remains uncertain • Geopolitical tensions continue to pose challenges 10KAI 2Q26 BUSINESS REVIEW– AUGUST 2026 | © 2026 KADANT INC.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REVIEW Michael J. McKenney, EVP &amp; CFO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Financial Performance ($ in millions, except per share amounts) Q2 26 Q2 25 Revenue $312.9 $255.3 Gross Margin 43.8% 45.9% SG&amp;A % of Revenue 26.1% 29.0% Operating Income $50.9 $39.4 Net Income $32.5 $26.2 Adjusted EBITDA* $68.1 $52.4 EPS $2.75 $2.22 Adjusted EPS* $3.42 $2.71 Operating Cash Flow $53.5 $40.5 HIGHLIGHTS • Record parts and consumables revenue • Adjusted EBITDA margin* of 21.8% • Adjusted EPS* exceeded guidance • Backlog of $340 million KAI 2Q26 BUSINESS REVIEW– AUGUST 2026 | © 2026 KADANT INC. ALL RIGHTS RESERVED.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Financial Metrics KAI 2Q26 BUSINESS REVIEW– AUGUST 2026 | © 2026 KADANT INC. ALL RIGHTS RESERVED. 13 $40.5 $47.3 $60.8 $21.9 $53.5 $36.5 $44.1 $54.7 $18.7 $42.6 FREE CASH FLOW* OPERATING CASH FLOW 2Q25 3Q25 4Q25 1Q26 2Q26 $52.4 $58.0 $58.0 $56.8 $68.1 $26.2 $27.7 $24.0 $25.5 $32.5 20.5% 21.4% 20.3% 20.2% 21.8% NET INCOME ADJUSTED EBITDA* ADJ. EBITDA MARGIN* 2Q25 3Q25 4Q25 1Q26 2Q26 ADJUSTED EBITDA* CASH FLOW ($ in millions)($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2Q21 ADJ EPS* 2Q22 ADJ EPS* KAI 2Q26 BUSINESS REVIEW– AUGUST 2026 | © 2026 KADANT INC. ALL RIGHTS RESERVED. Q2 25 to Q2 26 Adjusted EPS* $2.71 $0.67 $0.52 $0.01 $(0.23) $(0.12) $(0.08) $(0.06) $3.42 Q2 25 ADJ EPS* REVENUE ACQUISITIONS NONCONTROLLING INTERESTS GROSS MARGIN INTEREST EXPENSE TAX PROVISION OPERATING EXPENSES Q2 26 ADJ EPS*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Liquidity Metrics KAI 2Q26 BUSINESS REVIEW– AUGUST 2026 | © 2026 KADANT INC. ALL RIGHTS RESERVED. ($ in millions) Q2 26 Q1 26 Q2 25 Cash, cash equivalents, and restricted cash $137.6 $119.8 $97.2 Debt $508.2 $361.3 $247.2 Lease obligations $2.4 $2.1 $1.7 Net Debt $373.0 $243.5 $151.7 Leverage ratio1 1.72 1.27 0.86 Working capital % LTM revenue2 19.3 % 20.0 % 17.7 % Cash conversion days3 133 147 128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Guidance KAI 2Q26 BUSINESS REVIEW– AUGUST 2026 | © 2026 KADANT INC. ALL RIGHTS RESERVED. 16 • FY 2026 revenue of $1.190 to $1.210 billion, revised from $1.178 to $1.203 billion • FY 2026 GAAP EPS of $9.78 to $10.03, revised from $9.80 to $10.15 • FY 2026 adjusted EPS* of $12.43 to $12.68 revised from $12.33 to $12.68 • Q3 2026 revenue of $297 to $307 million • Q3 2026 GAAP EPS of $2.28 to $2.38 • Q3 2026 adjusted EPS* of $2.90 to $3.00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Questions &amp; Answers To participate in the live Q&amp;A session, please go to investor.kadant.com and click on the Q&amp;A session link to receive a dial-in number and unique PIN. Please mute the audio on your computer.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Delivering Exceptional Stakeholder Value 18KAI 2Q26 BUSINESS REVIEW– AUGUST 2026 | © 2026 KADANT INC. ALL RIGHTS RESERVED. Reinforce an entrepreneurial mindset in our decentralized business model to stimulate growth and drive efficiencies. Build leadership capabilities to achieve growth-focused critical outcomes. Cultivate innovation, agility, and discipline for sustainable growth and profitability. Drive operational excellence via our 80/20 Performance System and Lean principles to systematically enhance performance. OUR KEY PRIORITIES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Relations Michael McKenney, 978-776-2000 IR@kadant.com Media Relations Wes Martz, 978-776-2000 media@kadant.com 19 CONTACTS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Second Quarter 2026 Business Review 20 APPENDIX August 5,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Revenue by Customer Location ($ in thousands) Q2 26 Q2 25 Change Change Excluding Acquisitions and FX* North America $186,796 $157,968 $28,828 $15,646 Europe 72,842 63,230 9,612 (2,978) Asia 33,544 20,941 12,603 6,289 Rest of World 19,693 13,128 6,565 650 Total $312,875 $255,267 $57,608 $19,607 KAI 2Q26 BUSINESS REVIEW– AUGUST 2026 | © 2026 KADANT INC. ALL RIGHTS RESERVED. 21 Percentage of Parts and Consumables Revenue Q2 26 Q2 25 Flow Control 76% 75% Industrial Processing 69% 76% Material Handling 57% 58% Consolidated 68 % 71 %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EPS* Reconciliation Q2 26 Q2 25 EPS, as Reported $2.75 $2.22 Adjustments, Net of Tax Intangible Asset Amortization Expense 0.55 0.40 Profit in Inventory and Backlog Amortization Expense 0.08 0.01 Acquisition Costs 0.05 0.08 Adjusted EPS* $3.42 $2.71 KAI 2Q26 BUSINESS REVIEW– AUGUST 2026 | © 2026 KADANT INC. ALL RIGHTS RESERVED. 22 ($ in thousands) Q2 26 Q2 25 Operating Cash Flow $53,510 $40,482 Capital Expenditures (10,947) (3,968) Free Cash Flow* $42,563 $36,514 Free Cash Flow* Reconciliation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EBITDA* Reconciliation ($ in thousands) Q2 26 Q2 25 Net Income Attributable to Kadant $32,468 $26,159 Net Income Attributable to Noncontrolling Interests 379 480 Provision for Income Taxes 13,182 9,822 Interest Expense, Net 4,819 2,899 Other Expense, Net 32 17 Intangible Asset Amortization Expense 8,626 6,333 Profit in Inventory Amortization Expense 1,201 24 Backlog Amortization Expense — 202 Acquisition Costs 604 908 Indemnification Asset Provision (125) — Depreciation Expense 6,918 5,534 Adjusted EBITDA* $68,104 $52,378 Adjusted EBITDA Margin* 21.8 % 20.5 % KAI 2Q26 BUSINESS REVIEW– AUGUST 2026 | © 2026 KADANT INC. ALL RIGHTS RESERVED.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PRESENTATION NOTES • All references to EPS (earnings per share) are to our EPS as calculated on a diluted basis. • Adjusted EPS* has been calculated using our new methodology announced on February 19, 2026 to exclude intangible asset amortization expense. • Percent change in slides 6-9 is calculated using actual numbers reported in our press release dated August 4, 2026. FOOTNOTES 1) Leverage ratio is calculated by dividing total debt by EBITDA. For purposes of this calculation, EBITDA is calculated by adding or subtracting certain items from Adjusted EBITDA, as required by our amended and restated credit facility (“Credit Facility”). Our Credit Facility defines total debt as debt less worldwide cash of up to $50 million. 2) Working capital is defined as current assets less current liabilities, excluding cash and debt. LTM is defined as last 12 months. 3) Cash conversion days is based on days in receivables plus days in inventory less days in accounts payable. KAI 2Q26 BUSINESS REVIEW– AUGUST 2026 | © 2026 KADANT INC. ALL RIGHTS RESERVED. 24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20" Type="http://schemas.openxmlformats.org/officeDocument/2006/relationships/image" Target="media/image11.jpeg"/><Relationship Id="rId21" Type="http://schemas.openxmlformats.org/officeDocument/2006/relationships/image" Target="media/image12.jpeg"/><Relationship Id="rId22" Type="http://schemas.openxmlformats.org/officeDocument/2006/relationships/image" Target="media/image13.jpeg"/><Relationship Id="rId23" Type="http://schemas.openxmlformats.org/officeDocument/2006/relationships/image" Target="media/image14.jpeg"/><Relationship Id="rId24" Type="http://schemas.openxmlformats.org/officeDocument/2006/relationships/image" Target="media/image15.jpeg"/><Relationship Id="rId25" Type="http://schemas.openxmlformats.org/officeDocument/2006/relationships/image" Target="media/image16.jpeg"/><Relationship Id="rId26" Type="http://schemas.openxmlformats.org/officeDocument/2006/relationships/image" Target="media/image17.jpeg"/><Relationship Id="rId27" Type="http://schemas.openxmlformats.org/officeDocument/2006/relationships/image" Target="media/image18.jpeg"/><Relationship Id="rId28" Type="http://schemas.openxmlformats.org/officeDocument/2006/relationships/image" Target="media/image19.jpeg"/><Relationship Id="rId29" Type="http://schemas.openxmlformats.org/officeDocument/2006/relationships/image" Target="media/image20.jpeg"/><Relationship Id="rId30" Type="http://schemas.openxmlformats.org/officeDocument/2006/relationships/image" Target="media/image21.jpeg"/><Relationship Id="rId31" Type="http://schemas.openxmlformats.org/officeDocument/2006/relationships/image" Target="media/image22.jpeg"/><Relationship Id="rId32" Type="http://schemas.openxmlformats.org/officeDocument/2006/relationships/image" Target="media/image23.jpeg"/><Relationship Id="rId33" Type="http://schemas.openxmlformats.org/officeDocument/2006/relationships/image" Target="media/image24.jpeg"/><Relationship Id="rId34" Type="http://schemas.openxmlformats.org/officeDocument/2006/relationships/image" Target="media/image25.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6897</Words>
  <Characters>38269</Characters>
  <CharactersWithSpaces>44483</CharactersWithSpaces>
  <Paragraphs>1134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kaiform8kex992q226</dc:title>
</cp:coreProperties>
</file>