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 xml:space="preserve">UNITED STATES </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July 4,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_________</w:t>
      </w:r>
    </w:p>
    <w:p>
      <w:pPr>
        <w:pStyle w:val="TextBody"/>
        <w:bidi w:val="0"/>
        <w:spacing w:lineRule="auto" w:line="288" w:before="240" w:after="16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001-11406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KADANT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285" w:type="dxa"/>
        <w:jc w:val="left"/>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80"/>
        <w:gridCol w:w="780"/>
        <w:gridCol w:w="111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52-1762325</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Technology Park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Westford, Massachusetts 01886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(978) 776-2000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8602" w:type="dxa"/>
        <w:jc w:val="center"/>
        <w:tblInd w:w="0" w:type="dxa"/>
        <w:tblLayout w:type="fixed"/>
        <w:tblCellMar>
          <w:top w:w="28" w:type="dxa"/>
          <w:left w:w="28" w:type="dxa"/>
          <w:bottom w:w="28" w:type="dxa"/>
          <w:right w:w="28" w:type="dxa"/>
        </w:tblCellMar>
      </w:tblPr>
      <w:tblGrid>
        <w:gridCol w:w="950"/>
        <w:gridCol w:w="832"/>
        <w:gridCol w:w="842"/>
        <w:gridCol w:w="109"/>
        <w:gridCol w:w="109"/>
        <w:gridCol w:w="109"/>
        <w:gridCol w:w="539"/>
        <w:gridCol w:w="539"/>
        <w:gridCol w:w="541"/>
        <w:gridCol w:w="109"/>
        <w:gridCol w:w="109"/>
        <w:gridCol w:w="109"/>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11,809,117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on 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4,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5"/>
        <w:gridCol w:w="215"/>
        <w:gridCol w:w="215"/>
        <w:gridCol w:w="2873"/>
        <w:gridCol w:w="2761"/>
        <w:gridCol w:w="2771"/>
        <w:gridCol w:w="316"/>
        <w:gridCol w:w="316"/>
        <w:gridCol w:w="453"/>
      </w:tblGrid>
      <w:tr>
        <w:trPr/>
        <w:tc>
          <w:tcPr>
            <w:tcW w:w="2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3">
              <w:r>
                <w:rPr>
                  <w:rStyle w:val="InternetLink"/>
                  <w:rFonts w:ascii="Times New Roman;serif" w:hAnsi="Times New Roman;serif"/>
                  <w:b w:val="false"/>
                  <w:color w:val="0000FF"/>
                  <w:sz w:val="20"/>
                  <w:u w:val="single"/>
                </w:rPr>
                <w:t>Item 1.</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3">
              <w:r>
                <w:rPr>
                  <w:rStyle w:val="InternetLink"/>
                  <w:rFonts w:ascii="Times New Roman;serif" w:hAnsi="Times New Roman;serif"/>
                  <w:b w:val="false"/>
                  <w:color w:val="0000FF"/>
                  <w:sz w:val="20"/>
                  <w:u w:val="single"/>
                </w:rPr>
                <w:t>Financial Statements (unaudited)</w:t>
              </w:r>
            </w:hyperlink>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6">
              <w:r>
                <w:rPr>
                  <w:rStyle w:val="InternetLink"/>
                  <w:rFonts w:ascii="Times New Roman;serif" w:hAnsi="Times New Roman;serif"/>
                  <w:b w:val="false"/>
                  <w:color w:val="0000FF"/>
                  <w:sz w:val="20"/>
                  <w:u w:val="single"/>
                </w:rPr>
                <w:t>Condensed Consolidated Balance Sheet as of July 4, 2026 and January 3, 2026</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6">
              <w:r>
                <w:rPr>
                  <w:rStyle w:val="InternetLink"/>
                  <w:rFonts w:ascii="Times New Roman;serif" w:hAnsi="Times New Roman;serif"/>
                  <w:b w:val="false"/>
                  <w:color w:val="0000FF"/>
                  <w:sz w:val="20"/>
                  <w:u w:val="single"/>
                </w:rPr>
                <w:t>3</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d0b1c0abeb47668f3051b0d92b1a64_22">
              <w:r>
                <w:rPr>
                  <w:rStyle w:val="InternetLink"/>
                  <w:rFonts w:ascii="Times New Roman;serif" w:hAnsi="Times New Roman;serif"/>
                  <w:b w:val="false"/>
                  <w:color w:val="0000FF"/>
                  <w:sz w:val="20"/>
                  <w:u w:val="single"/>
                </w:rPr>
                <w:t>Condensed Consolidated Statement of Income for the three- and six-month periods ended July 4, 2026 and June 28, 2025</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22">
              <w:r>
                <w:rPr>
                  <w:rStyle w:val="InternetLink"/>
                  <w:rFonts w:ascii="Times New Roman;serif" w:hAnsi="Times New Roman;serif"/>
                  <w:b w:val="false"/>
                  <w:color w:val="0000FF"/>
                  <w:sz w:val="20"/>
                  <w:u w:val="single"/>
                </w:rPr>
                <w:t>4</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d0b1c0abeb47668f3051b0d92b1a64_25">
              <w:r>
                <w:rPr>
                  <w:rStyle w:val="InternetLink"/>
                  <w:rFonts w:ascii="Times New Roman;serif" w:hAnsi="Times New Roman;serif"/>
                  <w:b w:val="false"/>
                  <w:color w:val="0000FF"/>
                  <w:sz w:val="20"/>
                  <w:u w:val="single"/>
                </w:rPr>
                <w:t>Condensed Consolidated Statement of Comprehensive Income for the three- and six-month periods ended July 4, 2026 and June 28, 2025</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25">
              <w:r>
                <w:rPr>
                  <w:rStyle w:val="InternetLink"/>
                  <w:rFonts w:ascii="Times New Roman;serif" w:hAnsi="Times New Roman;serif"/>
                  <w:b w:val="false"/>
                  <w:color w:val="0000FF"/>
                  <w:sz w:val="20"/>
                  <w:u w:val="single"/>
                </w:rPr>
                <w:t>5</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d0b1c0abeb47668f3051b0d92b1a64_31">
              <w:r>
                <w:rPr>
                  <w:rStyle w:val="InternetLink"/>
                  <w:rFonts w:ascii="Times New Roman;serif" w:hAnsi="Times New Roman;serif"/>
                  <w:b w:val="false"/>
                  <w:color w:val="0000FF"/>
                  <w:sz w:val="20"/>
                  <w:u w:val="single"/>
                </w:rPr>
                <w:t>Condensed Consolidated Statement of Cash Flows for the six-month periods ended July 4, 2026 and June 28, 2025</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31">
              <w:r>
                <w:rPr>
                  <w:rStyle w:val="InternetLink"/>
                  <w:rFonts w:ascii="Times New Roman;serif" w:hAnsi="Times New Roman;serif"/>
                  <w:b w:val="false"/>
                  <w:color w:val="0000FF"/>
                  <w:sz w:val="20"/>
                  <w:u w:val="single"/>
                </w:rPr>
                <w:t>6</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d0b1c0abeb47668f3051b0d92b1a64_34">
              <w:r>
                <w:rPr>
                  <w:rStyle w:val="InternetLink"/>
                  <w:rFonts w:ascii="Times New Roman;serif" w:hAnsi="Times New Roman;serif"/>
                  <w:b w:val="false"/>
                  <w:color w:val="0000FF"/>
                  <w:sz w:val="20"/>
                  <w:u w:val="single"/>
                </w:rPr>
                <w:t>Condensed Consolidated Statement of Stockholders' Equity for the three- and six-month periods ended July 4, 2026 and June 28, 2025</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34">
              <w:r>
                <w:rPr>
                  <w:rStyle w:val="InternetLink"/>
                  <w:rFonts w:ascii="Times New Roman;serif" w:hAnsi="Times New Roman;serif"/>
                  <w:b w:val="false"/>
                  <w:color w:val="0000FF"/>
                  <w:sz w:val="20"/>
                  <w:u w:val="single"/>
                </w:rPr>
                <w:t>7</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43">
              <w:r>
                <w:rPr>
                  <w:rStyle w:val="InternetLink"/>
                  <w:rFonts w:ascii="Times New Roman;serif" w:hAnsi="Times New Roman;serif"/>
                  <w:b w:val="false"/>
                  <w:color w:val="0000FF"/>
                  <w:sz w:val="20"/>
                  <w:u w:val="single"/>
                </w:rPr>
                <w:t>Notes to Condensed Consolidated Financial Statements</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43">
              <w:r>
                <w:rPr>
                  <w:rStyle w:val="InternetLink"/>
                  <w:rFonts w:ascii="Times New Roman;serif" w:hAnsi="Times New Roman;serif"/>
                  <w:b w:val="false"/>
                  <w:color w:val="0000FF"/>
                  <w:sz w:val="20"/>
                  <w:u w:val="single"/>
                </w:rPr>
                <w:t>8</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94">
              <w:r>
                <w:rPr>
                  <w:rStyle w:val="InternetLink"/>
                  <w:rFonts w:ascii="Times New Roman;serif" w:hAnsi="Times New Roman;serif"/>
                  <w:b w:val="false"/>
                  <w:color w:val="0000FF"/>
                  <w:sz w:val="20"/>
                  <w:u w:val="single"/>
                </w:rPr>
                <w:t>Item 2.</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94">
              <w:r>
                <w:rPr>
                  <w:rStyle w:val="InternetLink"/>
                  <w:rFonts w:ascii="Times New Roman;serif" w:hAnsi="Times New Roman;serif"/>
                  <w:b w:val="false"/>
                  <w:color w:val="0000FF"/>
                  <w:sz w:val="20"/>
                  <w:u w:val="single"/>
                </w:rPr>
                <w:t>23</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12">
              <w:r>
                <w:rPr>
                  <w:rStyle w:val="InternetLink"/>
                  <w:rFonts w:ascii="Times New Roman;serif" w:hAnsi="Times New Roman;serif"/>
                  <w:b w:val="false"/>
                  <w:color w:val="0000FF"/>
                  <w:sz w:val="20"/>
                  <w:u w:val="single"/>
                </w:rPr>
                <w:t>Item 3.</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12">
              <w:r>
                <w:rPr>
                  <w:rStyle w:val="InternetLink"/>
                  <w:rFonts w:ascii="Times New Roman;serif" w:hAnsi="Times New Roman;serif"/>
                  <w:b w:val="false"/>
                  <w:color w:val="0000FF"/>
                  <w:sz w:val="20"/>
                  <w:u w:val="single"/>
                </w:rPr>
                <w:t>Quantitative and Qualitative Disclosures About Market Risk</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12">
              <w:r>
                <w:rPr>
                  <w:rStyle w:val="InternetLink"/>
                  <w:rFonts w:ascii="Times New Roman;serif" w:hAnsi="Times New Roman;serif"/>
                  <w:b w:val="false"/>
                  <w:color w:val="0000FF"/>
                  <w:sz w:val="20"/>
                  <w:u w:val="single"/>
                </w:rPr>
                <w:t>32</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15">
              <w:r>
                <w:rPr>
                  <w:rStyle w:val="InternetLink"/>
                  <w:rFonts w:ascii="Times New Roman;serif" w:hAnsi="Times New Roman;serif"/>
                  <w:b w:val="false"/>
                  <w:color w:val="0000FF"/>
                  <w:sz w:val="20"/>
                  <w:u w:val="single"/>
                </w:rPr>
                <w:t>Item 4.</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15">
              <w:r>
                <w:rPr>
                  <w:rStyle w:val="InternetLink"/>
                  <w:rFonts w:ascii="Times New Roman;serif" w:hAnsi="Times New Roman;serif"/>
                  <w:b w:val="false"/>
                  <w:color w:val="0000FF"/>
                  <w:sz w:val="20"/>
                  <w:u w:val="single"/>
                </w:rPr>
                <w:t>Controls and Procedures</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15">
              <w:r>
                <w:rPr>
                  <w:rStyle w:val="InternetLink"/>
                  <w:rFonts w:ascii="Times New Roman;serif" w:hAnsi="Times New Roman;serif"/>
                  <w:b w:val="false"/>
                  <w:color w:val="0000FF"/>
                  <w:sz w:val="20"/>
                  <w:u w:val="single"/>
                </w:rPr>
                <w:t>33</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21">
              <w:r>
                <w:rPr>
                  <w:rStyle w:val="InternetLink"/>
                  <w:rFonts w:ascii="Times New Roman;serif" w:hAnsi="Times New Roman;serif"/>
                  <w:b w:val="false"/>
                  <w:color w:val="0000FF"/>
                  <w:sz w:val="20"/>
                  <w:u w:val="single"/>
                </w:rPr>
                <w:t>Item 1A.</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21">
              <w:r>
                <w:rPr>
                  <w:rStyle w:val="InternetLink"/>
                  <w:rFonts w:ascii="Times New Roman;serif" w:hAnsi="Times New Roman;serif"/>
                  <w:b w:val="false"/>
                  <w:color w:val="0000FF"/>
                  <w:sz w:val="20"/>
                  <w:u w:val="single"/>
                </w:rPr>
                <w:t>Risk Factors</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21">
              <w:r>
                <w:rPr>
                  <w:rStyle w:val="InternetLink"/>
                  <w:rFonts w:ascii="Times New Roman;serif" w:hAnsi="Times New Roman;serif"/>
                  <w:b w:val="false"/>
                  <w:color w:val="0000FF"/>
                  <w:sz w:val="20"/>
                  <w:u w:val="single"/>
                </w:rPr>
                <w:t>33</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27">
              <w:r>
                <w:rPr>
                  <w:rStyle w:val="InternetLink"/>
                  <w:rFonts w:ascii="Times New Roman;serif" w:hAnsi="Times New Roman;serif"/>
                  <w:b w:val="false"/>
                  <w:color w:val="0000FF"/>
                  <w:sz w:val="20"/>
                  <w:u w:val="single"/>
                </w:rPr>
                <w:t>Item 5.</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27">
              <w:r>
                <w:rPr>
                  <w:rStyle w:val="InternetLink"/>
                  <w:rFonts w:ascii="Times New Roman;serif" w:hAnsi="Times New Roman;serif"/>
                  <w:b w:val="false"/>
                  <w:color w:val="0000FF"/>
                  <w:sz w:val="20"/>
                  <w:u w:val="single"/>
                </w:rPr>
                <w:t>Other Information</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27">
              <w:r>
                <w:rPr>
                  <w:rStyle w:val="InternetLink"/>
                  <w:rFonts w:ascii="Times New Roman;serif" w:hAnsi="Times New Roman;serif"/>
                  <w:b w:val="false"/>
                  <w:color w:val="0000FF"/>
                  <w:sz w:val="20"/>
                  <w:u w:val="single"/>
                </w:rPr>
                <w:t>34</w:t>
              </w:r>
            </w:hyperlink>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30">
              <w:r>
                <w:rPr>
                  <w:rStyle w:val="InternetLink"/>
                  <w:rFonts w:ascii="Times New Roman;serif" w:hAnsi="Times New Roman;serif"/>
                  <w:b w:val="false"/>
                  <w:color w:val="0000FF"/>
                  <w:sz w:val="20"/>
                  <w:u w:val="single"/>
                </w:rPr>
                <w:t>Item 6.</w:t>
              </w:r>
            </w:hyperlink>
          </w:p>
        </w:tc>
        <w:tc>
          <w:tcPr>
            <w:tcW w:w="8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d0b1c0abeb47668f3051b0d92b1a64_130">
              <w:r>
                <w:rPr>
                  <w:rStyle w:val="InternetLink"/>
                  <w:rFonts w:ascii="Times New Roman;serif" w:hAnsi="Times New Roman;serif"/>
                  <w:b w:val="false"/>
                  <w:color w:val="0000FF"/>
                  <w:sz w:val="20"/>
                  <w:u w:val="single"/>
                </w:rPr>
                <w:t>Exhibits</w:t>
              </w:r>
            </w:hyperlink>
          </w:p>
        </w:tc>
        <w:tc>
          <w:tcPr>
            <w:tcW w:w="108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2d0b1c0abeb47668f3051b0d92b1a64_130">
              <w:r>
                <w:rPr>
                  <w:rStyle w:val="InternetLink"/>
                  <w:rFonts w:ascii="Times New Roman;serif" w:hAnsi="Times New Roman;serif"/>
                  <w:b w:val="false"/>
                  <w:color w:val="0000FF"/>
                  <w:sz w:val="20"/>
                  <w:u w:val="singl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1 –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39"/>
        <w:gridCol w:w="2179"/>
        <w:gridCol w:w="2194"/>
        <w:gridCol w:w="109"/>
        <w:gridCol w:w="109"/>
        <w:gridCol w:w="109"/>
        <w:gridCol w:w="211"/>
        <w:gridCol w:w="976"/>
        <w:gridCol w:w="109"/>
        <w:gridCol w:w="109"/>
        <w:gridCol w:w="109"/>
        <w:gridCol w:w="109"/>
        <w:gridCol w:w="211"/>
        <w:gridCol w:w="976"/>
        <w:gridCol w:w="156"/>
      </w:tblGrid>
      <w:tr>
        <w:trPr/>
        <w:tc>
          <w:tcPr>
            <w:tcW w:w="253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$5,143 and $5,149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of accumulated depreciation of $184,252 and $173,586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Assets, Net </w:t>
            </w:r>
            <w:hyperlink w:anchor="i92d0b1c0abeb47668f3051b0d92b1a64_43">
              <w:r>
                <w:rPr>
                  <w:rStyle w:val="InternetLink"/>
                  <w:rFonts w:ascii="Times New Roman;serif" w:hAnsi="Times New Roman;serif"/>
                  <w:b w:val="false"/>
                  <w:color w:val="000080"/>
                  <w:sz w:val="20"/>
                  <w:u w:val="single"/>
                </w:rPr>
                <w:t>(Note</w:t>
              </w:r>
            </w:hyperlink>
            <w:hyperlink w:anchor="i92d0b1c0abeb47668f3051b0d92b1a64_43">
              <w:r>
                <w:rPr>
                  <w:rStyle w:val="InternetLink"/>
                  <w:rFonts w:ascii="Times New Roman;serif" w:hAnsi="Times New Roman;serif"/>
                  <w:b w:val="false"/>
                  <w:color w:val="000080"/>
                  <w:sz w:val="20"/>
                  <w:u w:val="single"/>
                </w:rPr>
                <w:t>s</w:t>
              </w:r>
            </w:hyperlink>
            <w:hyperlink w:anchor="i92d0b1c0abeb47668f3051b0d92b1a64_43">
              <w:r>
                <w:rPr>
                  <w:rStyle w:val="InternetLink"/>
                  <w:rFonts w:ascii="Times New Roman;serif" w:hAnsi="Times New Roman;serif"/>
                  <w:b w:val="false"/>
                  <w:color w:val="000080"/>
                  <w:sz w:val="20"/>
                  <w:u w:val="single"/>
                </w:rPr>
                <w:t xml:space="preserve"> 1</w:t>
              </w:r>
            </w:hyperlink>
            <w:hyperlink w:anchor="i92d0b1c0abeb47668f3051b0d92b1a64_55">
              <w:r>
                <w:rPr>
                  <w:rStyle w:val="InternetLink"/>
                  <w:rFonts w:ascii="Times New Roman;serif" w:hAnsi="Times New Roman;serif"/>
                  <w:b w:val="false"/>
                  <w:color w:val="000080"/>
                  <w:sz w:val="20"/>
                  <w:u w:val="single"/>
                </w:rPr>
                <w:t xml:space="preserve"> and 2</w:t>
              </w:r>
            </w:hyperlink>
            <w:hyperlink w:anchor="i92d0b1c0abeb47668f3051b0d92b1a64_55">
              <w:r>
                <w:rPr>
                  <w:rStyle w:val="InternetLink"/>
                  <w:rFonts w:ascii="Times New Roman;serif" w:hAnsi="Times New Roman;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Goodwill </w:t>
            </w:r>
            <w:hyperlink w:anchor="i92d0b1c0abeb47668f3051b0d92b1a64_43">
              <w:r>
                <w:rPr>
                  <w:rStyle w:val="InternetLink"/>
                  <w:rFonts w:ascii="Times New Roman;serif" w:hAnsi="Times New Roman;serif"/>
                  <w:b w:val="false"/>
                  <w:color w:val="000080"/>
                  <w:sz w:val="20"/>
                  <w:u w:val="single"/>
                </w:rPr>
                <w:t>(Note</w:t>
              </w:r>
            </w:hyperlink>
            <w:hyperlink w:anchor="i92d0b1c0abeb47668f3051b0d92b1a64_43">
              <w:r>
                <w:rPr>
                  <w:rStyle w:val="InternetLink"/>
                  <w:rFonts w:ascii="Times New Roman;serif" w:hAnsi="Times New Roman;serif"/>
                  <w:b w:val="false"/>
                  <w:color w:val="000080"/>
                  <w:sz w:val="20"/>
                  <w:u w:val="single"/>
                </w:rPr>
                <w:t>s</w:t>
              </w:r>
            </w:hyperlink>
            <w:hyperlink w:anchor="i92d0b1c0abeb47668f3051b0d92b1a64_43">
              <w:r>
                <w:rPr>
                  <w:rStyle w:val="InternetLink"/>
                  <w:rFonts w:ascii="Times New Roman;serif" w:hAnsi="Times New Roman;serif"/>
                  <w:b w:val="false"/>
                  <w:color w:val="000080"/>
                  <w:sz w:val="20"/>
                  <w:u w:val="single"/>
                </w:rPr>
                <w:t xml:space="preserve"> 1</w:t>
              </w:r>
            </w:hyperlink>
            <w:hyperlink w:anchor="i92d0b1c0abeb47668f3051b0d92b1a64_55">
              <w:r>
                <w:rPr>
                  <w:rStyle w:val="InternetLink"/>
                  <w:rFonts w:ascii="Times New Roman;serif" w:hAnsi="Times New Roman;serif"/>
                  <w:b w:val="false"/>
                  <w:color w:val="000080"/>
                  <w:sz w:val="20"/>
                  <w:u w:val="single"/>
                </w:rPr>
                <w:t xml:space="preserve"> and 2</w:t>
              </w:r>
            </w:hyperlink>
            <w:hyperlink w:anchor="i92d0b1c0abeb47668f3051b0d92b1a64_55">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maturities of long-term obligations </w:t>
            </w:r>
            <w:hyperlink w:anchor="i92d0b1c0abeb47668f3051b0d92b1a64_67">
              <w:r>
                <w:rPr>
                  <w:rStyle w:val="InternetLink"/>
                  <w:rFonts w:ascii="Times New Roman;serif" w:hAnsi="Times New Roman;serif"/>
                  <w:b w:val="false"/>
                  <w:color w:val="0000FF"/>
                  <w:sz w:val="20"/>
                  <w:u w:val="single"/>
                </w:rPr>
                <w:t>(Note 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warranty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Obligations </w:t>
            </w:r>
            <w:hyperlink w:anchor="i92d0b1c0abeb47668f3051b0d92b1a64_67">
              <w:r>
                <w:rPr>
                  <w:rStyle w:val="InternetLink"/>
                  <w:rFonts w:ascii="Times New Roman;serif" w:hAnsi="Times New Roman;serif"/>
                  <w:b w:val="false"/>
                  <w:color w:val="0000FF"/>
                  <w:sz w:val="20"/>
                  <w:u w:val="single"/>
                </w:rPr>
                <w:t>(Note 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Contingencies </w:t>
            </w:r>
            <w:hyperlink w:anchor="i92d0b1c0abeb47668f3051b0d92b1a64_88">
              <w:r>
                <w:rPr>
                  <w:rStyle w:val="InternetLink"/>
                  <w:rFonts w:ascii="Times New Roman;serif" w:hAnsi="Times New Roman;serif"/>
                  <w:b w:val="false"/>
                  <w:color w:val="0000FF"/>
                  <w:sz w:val="20"/>
                  <w:u w:val="single"/>
                </w:rPr>
                <w:t>(Note 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$.01 par value, 150,000,000 shares authorized; 14,624,159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2,815,057 and 2,835,165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Accumulated other comprehensive items </w:t>
            </w:r>
            <w:hyperlink w:anchor="i92d0b1c0abeb47668f3051b0d92b1a64_76">
              <w:r>
                <w:rPr>
                  <w:rStyle w:val="InternetLink"/>
                  <w:rFonts w:ascii="Times New Roman;serif" w:hAnsi="Times New Roman;serif"/>
                  <w:b w:val="false"/>
                  <w:color w:val="0000FF"/>
                  <w:sz w:val="20"/>
                  <w:u w:val="single"/>
                </w:rPr>
                <w:t>(Note 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Kadant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1,712,178 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63"/>
        <w:gridCol w:w="1348"/>
        <w:gridCol w:w="135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6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Revenue </w:t>
            </w:r>
            <w:hyperlink w:anchor="i92d0b1c0abeb47668f3051b0d92b1a64_43">
              <w:r>
                <w:rPr>
                  <w:rStyle w:val="InternetLink"/>
                  <w:rFonts w:ascii="Times New Roman;serif" w:hAnsi="Times New Roman;serif"/>
                  <w:b w:val="false"/>
                  <w:color w:val="000080"/>
                  <w:sz w:val="20"/>
                  <w:u w:val="single"/>
                </w:rPr>
                <w:t>(Notes 1</w:t>
              </w:r>
            </w:hyperlink>
            <w:hyperlink w:anchor="i92d0b1c0abeb47668f3051b0d92b1a64_85">
              <w:r>
                <w:rPr>
                  <w:rStyle w:val="InternetLink"/>
                  <w:rFonts w:ascii="Times New Roman;serif" w:hAnsi="Times New Roman;serif"/>
                  <w:b w:val="false"/>
                  <w:color w:val="000080"/>
                  <w:sz w:val="20"/>
                  <w:u w:val="single"/>
                </w:rPr>
                <w:t xml:space="preserve"> and 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Income Taxes </w:t>
            </w:r>
            <w:hyperlink w:anchor="i92d0b1c0abeb47668f3051b0d92b1a64_64">
              <w:r>
                <w:rPr>
                  <w:rStyle w:val="InternetLink"/>
                  <w:rFonts w:ascii="Times New Roman;serif" w:hAnsi="Times New Roman;serif"/>
                  <w:b w:val="false"/>
                  <w:color w:val="0000FF"/>
                  <w:sz w:val="20"/>
                  <w:u w:val="single"/>
                </w:rPr>
                <w:t>(Note 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Kadant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Earnings per Share Attributable to Kadant </w:t>
            </w:r>
            <w:hyperlink w:anchor="i92d0b1c0abeb47668f3051b0d92b1a64_61">
              <w:r>
                <w:rPr>
                  <w:rStyle w:val="InternetLink"/>
                  <w:rFonts w:ascii="Times New Roman;serif" w:hAnsi="Times New Roman;serif"/>
                  <w:b w:val="false"/>
                  <w:color w:val="0000FF"/>
                  <w:sz w:val="20"/>
                  <w:u w:val="single"/>
                </w:rPr>
                <w:t>(Note 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Weighted Average Shares </w:t>
            </w:r>
            <w:hyperlink w:anchor="i92d0b1c0abeb47668f3051b0d92b1a64_61">
              <w:r>
                <w:rPr>
                  <w:rStyle w:val="InternetLink"/>
                  <w:rFonts w:ascii="Times New Roman;serif" w:hAnsi="Times New Roman;serif"/>
                  <w:b w:val="false"/>
                  <w:color w:val="0000FF"/>
                  <w:sz w:val="20"/>
                  <w:u w:val="single"/>
                </w:rPr>
                <w:t>(Note 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0" w:after="0"/>
        <w:jc w:val="center"/>
        <w:rPr/>
      </w:pPr>
      <w:r>
        <w:rPr/>
      </w:r>
    </w:p>
    <w:p>
      <w:pPr>
        <w:pStyle w:val="TextBody"/>
        <w:bidi w:val="0"/>
        <w:spacing w:before="4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16"/>
        <w:gridCol w:w="1483"/>
        <w:gridCol w:w="1488"/>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71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liability adjustments, net (net of tax (benefit) provision of $(2), $2, $(4), and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Kadant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300" w:after="60"/>
        <w:jc w:val="center"/>
        <w:rPr/>
      </w:pPr>
      <w:r>
        <w:rPr/>
      </w:r>
    </w:p>
    <w:p>
      <w:pPr>
        <w:pStyle w:val="TextBody"/>
        <w:bidi w:val="0"/>
        <w:spacing w:before="16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22" w:type="dxa"/>
        <w:jc w:val="left"/>
        <w:tblInd w:w="0" w:type="dxa"/>
        <w:tblLayout w:type="fixed"/>
        <w:tblCellMar>
          <w:top w:w="28" w:type="dxa"/>
          <w:left w:w="28" w:type="dxa"/>
          <w:bottom w:w="28" w:type="dxa"/>
          <w:right w:w="28" w:type="dxa"/>
        </w:tblCellMar>
      </w:tblPr>
      <w:tblGrid>
        <w:gridCol w:w="2438"/>
        <w:gridCol w:w="2137"/>
        <w:gridCol w:w="2144"/>
        <w:gridCol w:w="109"/>
        <w:gridCol w:w="109"/>
        <w:gridCol w:w="109"/>
        <w:gridCol w:w="211"/>
        <w:gridCol w:w="826"/>
        <w:gridCol w:w="109"/>
        <w:gridCol w:w="109"/>
        <w:gridCol w:w="109"/>
        <w:gridCol w:w="109"/>
        <w:gridCol w:w="211"/>
        <w:gridCol w:w="721"/>
        <w:gridCol w:w="671"/>
      </w:tblGrid>
      <w:tr>
        <w:trPr/>
        <w:tc>
          <w:tcPr>
            <w:tcW w:w="243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6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Kadant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50,222 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51,076 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(recovery of) losses on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63,317 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Acquisitions, net of cash acquired </w:t>
            </w:r>
            <w:hyperlink w:anchor="i92d0b1c0abeb47668f3051b0d92b1a64_55">
              <w:r>
                <w:rPr>
                  <w:rStyle w:val="InternetLink"/>
                  <w:rFonts w:ascii="Times New Roman;serif" w:hAnsi="Times New Roman;serif"/>
                  <w:b w:val="false"/>
                  <w:color w:val="0000FF"/>
                  <w:sz w:val="20"/>
                  <w:u w:val="single"/>
                </w:rPr>
                <w:t>(Note 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Proceeds from issuance of long-term obligations </w:t>
            </w:r>
            <w:hyperlink w:anchor="i92d0b1c0abeb47668f3051b0d92b1a64_67">
              <w:r>
                <w:rPr>
                  <w:rStyle w:val="InternetLink"/>
                  <w:rFonts w:ascii="Times New Roman;serif" w:hAnsi="Times New Roman;serif"/>
                  <w:b w:val="false"/>
                  <w:color w:val="0000FF"/>
                  <w:sz w:val="20"/>
                  <w:u w:val="single"/>
                </w:rPr>
                <w:t>(Note 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Company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(61,476)</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Effect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95,946 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97,188 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See </w:t>
      </w:r>
      <w:hyperlink w:anchor="i92d0b1c0abeb47668f3051b0d92b1a64_43">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Nature of Operations and Summary of Significant Accounting Policies, </w:t>
      </w:r>
    </w:p>
    <w:p>
      <w:pPr>
        <w:pStyle w:val="TextBody"/>
        <w:bidi w:val="0"/>
        <w:spacing w:lineRule="auto" w:line="288" w:before="0" w:after="0"/>
        <w:jc w:val="center"/>
        <w:rPr/>
      </w:pPr>
      <w:r>
        <w:rPr>
          <w:rFonts w:ascii="Times New Roman;serif" w:hAnsi="Times New Roman;serif"/>
          <w:b w:val="false"/>
          <w:color w:val="000000"/>
          <w:sz w:val="20"/>
        </w:rPr>
        <w:t xml:space="preserve">under the heading </w:t>
      </w:r>
      <w:r>
        <w:rPr>
          <w:rFonts w:ascii="Times New Roman;serif" w:hAnsi="Times New Roman;serif"/>
          <w:b w:val="false"/>
          <w:i/>
          <w:color w:val="000000"/>
          <w:sz w:val="20"/>
        </w:rPr>
        <w:t>Supplemental Cash Flow Information</w:t>
      </w:r>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Stockholders' Equity</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2445" w:type="dxa"/>
        <w:jc w:val="center"/>
        <w:tblInd w:w="0" w:type="dxa"/>
        <w:tblLayout w:type="fixed"/>
        <w:tblCellMar>
          <w:top w:w="28" w:type="dxa"/>
          <w:left w:w="28" w:type="dxa"/>
          <w:bottom w:w="28" w:type="dxa"/>
          <w:right w:w="28" w:type="dxa"/>
        </w:tblCellMar>
      </w:tblPr>
      <w:tblGrid>
        <w:gridCol w:w="517"/>
        <w:gridCol w:w="244"/>
        <w:gridCol w:w="245"/>
        <w:gridCol w:w="109"/>
        <w:gridCol w:w="109"/>
        <w:gridCol w:w="109"/>
        <w:gridCol w:w="420"/>
        <w:gridCol w:w="421"/>
        <w:gridCol w:w="166"/>
        <w:gridCol w:w="109"/>
        <w:gridCol w:w="109"/>
        <w:gridCol w:w="109"/>
        <w:gridCol w:w="181"/>
        <w:gridCol w:w="376"/>
        <w:gridCol w:w="109"/>
        <w:gridCol w:w="109"/>
        <w:gridCol w:w="109"/>
        <w:gridCol w:w="109"/>
        <w:gridCol w:w="181"/>
        <w:gridCol w:w="646"/>
        <w:gridCol w:w="109"/>
        <w:gridCol w:w="109"/>
        <w:gridCol w:w="109"/>
        <w:gridCol w:w="109"/>
        <w:gridCol w:w="181"/>
        <w:gridCol w:w="646"/>
        <w:gridCol w:w="109"/>
        <w:gridCol w:w="109"/>
        <w:gridCol w:w="109"/>
        <w:gridCol w:w="109"/>
        <w:gridCol w:w="383"/>
        <w:gridCol w:w="383"/>
        <w:gridCol w:w="166"/>
        <w:gridCol w:w="109"/>
        <w:gridCol w:w="109"/>
        <w:gridCol w:w="109"/>
        <w:gridCol w:w="181"/>
        <w:gridCol w:w="571"/>
        <w:gridCol w:w="109"/>
        <w:gridCol w:w="109"/>
        <w:gridCol w:w="109"/>
        <w:gridCol w:w="109"/>
        <w:gridCol w:w="217"/>
        <w:gridCol w:w="687"/>
        <w:gridCol w:w="132"/>
        <w:gridCol w:w="109"/>
        <w:gridCol w:w="109"/>
        <w:gridCol w:w="109"/>
        <w:gridCol w:w="214"/>
        <w:gridCol w:w="677"/>
        <w:gridCol w:w="130"/>
        <w:gridCol w:w="109"/>
        <w:gridCol w:w="109"/>
        <w:gridCol w:w="109"/>
        <w:gridCol w:w="181"/>
        <w:gridCol w:w="76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 July 4, 2026</w:t>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Capital in</w:t>
              <w:br/>
              <w:t>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w:t>
              <w:br/>
              <w:t>Other</w:t>
              <w:br/>
              <w:t>Comprehensive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Total</w:t>
              <w:br/>
              <w:t>Stockholders' Equity</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April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2,815,702 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(38,805)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1,006,149 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 declared – Common Stock, $0.36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Activity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paid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Other comprehensive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2,815,057 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(42,551)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1,033,749 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2"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Six Months Ended July 4, 2026</w:t>
            </w:r>
          </w:p>
        </w:tc>
      </w:tr>
      <w:tr>
        <w:trPr/>
        <w:tc>
          <w:tcPr>
            <w:tcW w:w="10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Capital in</w:t>
              <w:br/>
              <w:t>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w:t>
              <w:br/>
              <w:t>Other</w:t>
              <w:br/>
              <w:t>Comprehensive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Total</w:t>
              <w:br/>
              <w:t>Stockholders' Equity</w:t>
            </w:r>
          </w:p>
        </w:tc>
      </w:tr>
      <w:tr>
        <w:trPr/>
        <w:tc>
          <w:tcPr>
            <w:tcW w:w="10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945,641 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2,835,165 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(35,349)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991,067 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declared – Common Stock, $0.72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Activity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paid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Other comprehensive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995,116 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2,815,057 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(42,551)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1,033,749 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325" w:type="dxa"/>
        <w:jc w:val="center"/>
        <w:tblInd w:w="0" w:type="dxa"/>
        <w:tblLayout w:type="fixed"/>
        <w:tblCellMar>
          <w:top w:w="28" w:type="dxa"/>
          <w:left w:w="28" w:type="dxa"/>
          <w:bottom w:w="28" w:type="dxa"/>
          <w:right w:w="28" w:type="dxa"/>
        </w:tblCellMar>
      </w:tblPr>
      <w:tblGrid>
        <w:gridCol w:w="517"/>
        <w:gridCol w:w="244"/>
        <w:gridCol w:w="245"/>
        <w:gridCol w:w="109"/>
        <w:gridCol w:w="109"/>
        <w:gridCol w:w="109"/>
        <w:gridCol w:w="420"/>
        <w:gridCol w:w="421"/>
        <w:gridCol w:w="166"/>
        <w:gridCol w:w="109"/>
        <w:gridCol w:w="109"/>
        <w:gridCol w:w="109"/>
        <w:gridCol w:w="181"/>
        <w:gridCol w:w="376"/>
        <w:gridCol w:w="109"/>
        <w:gridCol w:w="109"/>
        <w:gridCol w:w="109"/>
        <w:gridCol w:w="109"/>
        <w:gridCol w:w="181"/>
        <w:gridCol w:w="646"/>
        <w:gridCol w:w="109"/>
        <w:gridCol w:w="109"/>
        <w:gridCol w:w="109"/>
        <w:gridCol w:w="109"/>
        <w:gridCol w:w="181"/>
        <w:gridCol w:w="646"/>
        <w:gridCol w:w="109"/>
        <w:gridCol w:w="109"/>
        <w:gridCol w:w="109"/>
        <w:gridCol w:w="109"/>
        <w:gridCol w:w="383"/>
        <w:gridCol w:w="383"/>
        <w:gridCol w:w="166"/>
        <w:gridCol w:w="109"/>
        <w:gridCol w:w="109"/>
        <w:gridCol w:w="109"/>
        <w:gridCol w:w="181"/>
        <w:gridCol w:w="571"/>
        <w:gridCol w:w="109"/>
        <w:gridCol w:w="109"/>
        <w:gridCol w:w="109"/>
        <w:gridCol w:w="109"/>
        <w:gridCol w:w="217"/>
        <w:gridCol w:w="687"/>
        <w:gridCol w:w="132"/>
        <w:gridCol w:w="109"/>
        <w:gridCol w:w="109"/>
        <w:gridCol w:w="109"/>
        <w:gridCol w:w="214"/>
        <w:gridCol w:w="677"/>
        <w:gridCol w:w="130"/>
        <w:gridCol w:w="109"/>
        <w:gridCol w:w="109"/>
        <w:gridCol w:w="109"/>
        <w:gridCol w:w="181"/>
        <w:gridCol w:w="646"/>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 June 28, 2025</w:t>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Capital in</w:t>
              <w:br/>
              <w:t>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w:t>
              <w:br/>
              <w:t>Other</w:t>
              <w:br/>
              <w:t>Comprehensive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Total</w:t>
              <w:br/>
              <w:t>Stockholders' Equity</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March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2,848,300 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(62,424)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886,570 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 declared – Common Stock, $0.34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Activity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24,871 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901,907 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2,846,846 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(37,553)</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11,273 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937,293 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Six Months Ended June 28, 2025</w:t>
            </w:r>
          </w:p>
        </w:tc>
      </w:tr>
      <w:tr>
        <w:trPr/>
        <w:tc>
          <w:tcPr>
            <w:tcW w:w="10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Capital in</w:t>
              <w:br/>
              <w:t>Excess of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Accumulated</w:t>
              <w:br/>
              <w:t>Other</w:t>
              <w:br/>
              <w:t>Comprehensive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Total</w:t>
              <w:br/>
              <w:t>Stockholders' Equity</w:t>
            </w:r>
          </w:p>
        </w:tc>
      </w:tr>
      <w:tr>
        <w:trPr/>
        <w:tc>
          <w:tcPr>
            <w:tcW w:w="10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December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2,878,080 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(72,368)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858,128 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declared – Common Stock, $0.68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Activity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paid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5"/>
              </w:rPr>
              <w:t>Other comprehensive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34,815 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14,624,159 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901,907 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2,846,846 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(69,759)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(37,553)</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11,273 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937,293 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Nature of Operations and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Nature of Operations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Kadant Inc. was incorporated in Delaware in November 1991 and trades on the New York Stock Exchange under the ticker symbol "KAI." </w:t>
      </w:r>
    </w:p>
    <w:p>
      <w:pPr>
        <w:pStyle w:val="TextBody"/>
        <w:bidi w:val="0"/>
        <w:spacing w:lineRule="auto" w:line="288" w:before="0" w:after="0"/>
        <w:ind w:left="0" w:right="0" w:firstLine="720"/>
        <w:jc w:val="left"/>
        <w:rPr/>
      </w:pPr>
      <w:r>
        <w:rPr>
          <w:rFonts w:ascii="Times New Roman;serif" w:hAnsi="Times New Roman;serif"/>
          <w:b w:val="false"/>
          <w:color w:val="000000"/>
          <w:sz w:val="20"/>
        </w:rPr>
        <w:t>Kadant Inc. (together with its subsidiaries, the Company) is a global supplier of technologies and engineered systems that drive Sustainable Industrial Processing</w:t>
      </w:r>
      <w:r>
        <w:rPr>
          <w:rFonts w:ascii="Times New Roman;serif" w:hAnsi="Times New Roman;serif"/>
          <w:b w:val="false"/>
          <w:color w:val="000000"/>
          <w:sz w:val="13"/>
        </w:rPr>
        <w:t>®</w:t>
      </w:r>
      <w:r>
        <w:rPr>
          <w:rFonts w:ascii="Times New Roman;serif" w:hAnsi="Times New Roman;serif"/>
          <w:b w:val="false"/>
          <w:color w:val="000000"/>
          <w:sz w:val="20"/>
        </w:rPr>
        <w:t xml:space="preserve">. Its products and services play an integral role in enhancing efficiency, optimizing energy utilization, and maximizing productivity in process industries while helping customers advance their sustainability initiatives with products that reduce waste or generate more yield with fewer inputs, particularly fiber, energy, and water. Producing more while consuming less is a core aspect of Sustainable Industrial Processing and a major element of the strategic focus of the Company's three reportable segments consisting of the Flow Control segment, Industrial Processing segment, and Material Handling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Interim Financial Statements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interim condensed consolidated financial statements and related notes presented have been prepared by the Company, are unaudited and, in the opinion of management, reflect all adjustments of a normal recurring nature necessary for a fair statement of the Company's financial position at July 4, 2026, its results of operations, comprehensive income, and stockholders' equity for the three- and six-month periods ended July 4, 2026 and June 28, 2025, and its cash flows for the six-month periods ended July 4, 2026 and June 28, 2025. Interim results are not necessarily indicative of results for a full year or for any other interim period.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presented as of January 3, 2026 has been derived from the consolidated financial statements contained in the Company's Annual Report on Form 10-K for the fiscal year ended January 3, 2026 (Annual Report). The condensed consolidated financial statements and related notes are presented as permitted by the rules and regulations of the Securities and Exchange Commission (SEC) for Form 10-Q and do not contain certain information included in the annual consolidated financial statements and related notes of the Company. The condensed consolidated financial statements and notes included herein should be read in conjunction with the consolidated financial statements and related notes included in the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 and Critical Accounting Policies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Although the Company makes every effort to ensure the accuracy of the estimates and assumptions used in the preparation of its condensed consolidated financial statements or in the application of accounting policies, if business conditions were different, or if the Company were to use different estimates and assumptions, it is possible that materially different amounts could be reported in the Company's condensed consolidated financial statements.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Note 1 to the consolidated financial statements in the Annual Report describes the significant accounting estimates and policies used in preparation of the consolidated financial statements. There have been no material changes in the Company’s significant accounting policies during the six months ended July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Supplemental Cash Flow Information</w:t>
      </w:r>
    </w:p>
    <w:tbl>
      <w:tblPr>
        <w:tblW w:w="8916" w:type="dxa"/>
        <w:jc w:val="left"/>
        <w:tblInd w:w="0" w:type="dxa"/>
        <w:tblLayout w:type="fixed"/>
        <w:tblCellMar>
          <w:top w:w="28" w:type="dxa"/>
          <w:left w:w="28" w:type="dxa"/>
          <w:bottom w:w="28" w:type="dxa"/>
          <w:right w:w="28" w:type="dxa"/>
        </w:tblCellMar>
      </w:tblPr>
      <w:tblGrid>
        <w:gridCol w:w="2224"/>
        <w:gridCol w:w="1952"/>
        <w:gridCol w:w="1959"/>
        <w:gridCol w:w="109"/>
        <w:gridCol w:w="109"/>
        <w:gridCol w:w="109"/>
        <w:gridCol w:w="211"/>
        <w:gridCol w:w="721"/>
        <w:gridCol w:w="109"/>
        <w:gridCol w:w="109"/>
        <w:gridCol w:w="109"/>
        <w:gridCol w:w="109"/>
        <w:gridCol w:w="211"/>
        <w:gridCol w:w="721"/>
        <w:gridCol w:w="154"/>
      </w:tblGrid>
      <w:tr>
        <w:trPr/>
        <w:tc>
          <w:tcPr>
            <w:tcW w:w="2224"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1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6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Company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but unpaid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restricted cash generally serves as collateral for bank guarantees associated with providing assurance to customers that the Company will fulfill certain customer obligations entered into in the normal course of business and for certain banker's acceptance drafts issued to vendors. The majority of these restrictions will expire over the next twelve months.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accompanying condensed consolidated balance sheet that are shown in aggregate in the accompanying condensed consolidated statement of cash flows:</w:t>
      </w:r>
    </w:p>
    <w:tbl>
      <w:tblPr>
        <w:tblW w:w="10130" w:type="dxa"/>
        <w:jc w:val="center"/>
        <w:tblInd w:w="0" w:type="dxa"/>
        <w:tblLayout w:type="fixed"/>
        <w:tblCellMar>
          <w:top w:w="28" w:type="dxa"/>
          <w:left w:w="28" w:type="dxa"/>
          <w:bottom w:w="28" w:type="dxa"/>
          <w:right w:w="28" w:type="dxa"/>
        </w:tblCellMar>
      </w:tblPr>
      <w:tblGrid>
        <w:gridCol w:w="1533"/>
        <w:gridCol w:w="1346"/>
        <w:gridCol w:w="135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45"/>
        <w:gridCol w:w="837"/>
        <w:gridCol w:w="178"/>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28,</w:t>
              <w:br/>
              <w:t>2024</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8586" w:type="dxa"/>
        <w:jc w:val="left"/>
        <w:tblInd w:w="0" w:type="dxa"/>
        <w:tblLayout w:type="fixed"/>
        <w:tblCellMar>
          <w:top w:w="28" w:type="dxa"/>
          <w:left w:w="28" w:type="dxa"/>
          <w:bottom w:w="28" w:type="dxa"/>
          <w:right w:w="28" w:type="dxa"/>
        </w:tblCellMar>
      </w:tblPr>
      <w:tblGrid>
        <w:gridCol w:w="2031"/>
        <w:gridCol w:w="1780"/>
        <w:gridCol w:w="1784"/>
        <w:gridCol w:w="109"/>
        <w:gridCol w:w="109"/>
        <w:gridCol w:w="109"/>
        <w:gridCol w:w="211"/>
        <w:gridCol w:w="826"/>
        <w:gridCol w:w="109"/>
        <w:gridCol w:w="109"/>
        <w:gridCol w:w="109"/>
        <w:gridCol w:w="109"/>
        <w:gridCol w:w="211"/>
        <w:gridCol w:w="826"/>
        <w:gridCol w:w="154"/>
      </w:tblGrid>
      <w:tr>
        <w:trPr/>
        <w:tc>
          <w:tcPr>
            <w:tcW w:w="203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Finished Goods (includes $1,526 and $3,556 at customer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Acquired intangible assets by major asset class are as follows: </w:t>
      </w:r>
    </w:p>
    <w:tbl>
      <w:tblPr>
        <w:tblW w:w="8215" w:type="dxa"/>
        <w:jc w:val="left"/>
        <w:tblInd w:w="0" w:type="dxa"/>
        <w:tblLayout w:type="fixed"/>
        <w:tblCellMar>
          <w:top w:w="28" w:type="dxa"/>
          <w:left w:w="28" w:type="dxa"/>
          <w:bottom w:w="28" w:type="dxa"/>
          <w:right w:w="28" w:type="dxa"/>
        </w:tblCellMar>
      </w:tblPr>
      <w:tblGrid>
        <w:gridCol w:w="837"/>
        <w:gridCol w:w="733"/>
        <w:gridCol w:w="739"/>
        <w:gridCol w:w="109"/>
        <w:gridCol w:w="109"/>
        <w:gridCol w:w="109"/>
        <w:gridCol w:w="211"/>
        <w:gridCol w:w="826"/>
        <w:gridCol w:w="109"/>
        <w:gridCol w:w="109"/>
        <w:gridCol w:w="109"/>
        <w:gridCol w:w="109"/>
        <w:gridCol w:w="211"/>
        <w:gridCol w:w="901"/>
        <w:gridCol w:w="109"/>
        <w:gridCol w:w="109"/>
        <w:gridCol w:w="109"/>
        <w:gridCol w:w="109"/>
        <w:gridCol w:w="229"/>
        <w:gridCol w:w="691"/>
        <w:gridCol w:w="120"/>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60" w:after="283"/>
        <w:ind w:left="0" w:right="0" w:firstLine="720"/>
        <w:jc w:val="left"/>
        <w:rPr/>
      </w:pPr>
      <w:r>
        <w:rPr>
          <w:rFonts w:ascii="Times New Roman;serif" w:hAnsi="Times New Roman;serif"/>
          <w:b w:val="false"/>
          <w:color w:val="000000"/>
          <w:sz w:val="20"/>
        </w:rPr>
        <w:t xml:space="preserve">Intangible assets are recorded at fair value at the date of acquisition. Subsequent impairment charges are reflected as a reduction in the gross balance, as applicable. Definite-lived intangible assets are stated net of accumulated amortization and currency translation in the accompanying condensed consolidated balance sheet. The Company amortizes definite-lived intangible assets over lives that have been determined based on the anticipated cash flow benefits of the intangible asset. Intangible assets related to the Company's 2026 acquisition totaled $22,219,000. See </w:t>
      </w:r>
      <w:hyperlink w:anchor="i92d0b1c0abeb47668f3051b0d92b1a64_55">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Acquisitions,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 are as follows:</w:t>
      </w:r>
    </w:p>
    <w:tbl>
      <w:tblPr>
        <w:tblW w:w="10205" w:type="dxa"/>
        <w:jc w:val="center"/>
        <w:tblInd w:w="0" w:type="dxa"/>
        <w:tblLayout w:type="fixed"/>
        <w:tblCellMar>
          <w:top w:w="28" w:type="dxa"/>
          <w:left w:w="28" w:type="dxa"/>
          <w:bottom w:w="28" w:type="dxa"/>
          <w:right w:w="28" w:type="dxa"/>
        </w:tblCellMar>
      </w:tblPr>
      <w:tblGrid>
        <w:gridCol w:w="1415"/>
        <w:gridCol w:w="1193"/>
        <w:gridCol w:w="991"/>
        <w:gridCol w:w="109"/>
        <w:gridCol w:w="109"/>
        <w:gridCol w:w="109"/>
        <w:gridCol w:w="215"/>
        <w:gridCol w:w="842"/>
        <w:gridCol w:w="110"/>
        <w:gridCol w:w="109"/>
        <w:gridCol w:w="109"/>
        <w:gridCol w:w="109"/>
        <w:gridCol w:w="280"/>
        <w:gridCol w:w="1100"/>
        <w:gridCol w:w="145"/>
        <w:gridCol w:w="109"/>
        <w:gridCol w:w="109"/>
        <w:gridCol w:w="109"/>
        <w:gridCol w:w="259"/>
        <w:gridCol w:w="1018"/>
        <w:gridCol w:w="133"/>
        <w:gridCol w:w="109"/>
        <w:gridCol w:w="109"/>
        <w:gridCol w:w="109"/>
        <w:gridCol w:w="211"/>
        <w:gridCol w:w="826"/>
        <w:gridCol w:w="159"/>
      </w:tblGrid>
      <w:tr>
        <w:trPr/>
        <w:tc>
          <w:tcPr>
            <w:tcW w:w="141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220,781 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w:t>
            </w:r>
            <w:hyperlink w:anchor="i92d0b1c0abeb47668f3051b0d92b1a64_55">
              <w:r>
                <w:rPr>
                  <w:rStyle w:val="InternetLink"/>
                  <w:rFonts w:ascii="Times New Roman;serif" w:hAnsi="Times New Roman;serif"/>
                  <w:b w:val="false"/>
                  <w:color w:val="0000FF"/>
                  <w:sz w:val="20"/>
                  <w:u w:val="single"/>
                </w:rPr>
                <w:t>(Note 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Measurement-period adjustments for 2025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2026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138,092 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328,519 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194,296 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660,907 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Recognition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the Company’s revenue relates to products and services that require minimal customization and is recognized at a point in time for each performance obligation under the contract when the customer obtains control of the goods or service. The remaining portion of the Company’s revenue is recognized over time based on an input method that compares the costs incurred to date to the total expected costs required to satisfy the performance obligation. Contracts are accounted for on an over time basis when they include products which have no alternative use and an enforceable right to payment over time. Most of the contracts recognized on an over time basis are for large capital equipment projects. These projects are highly customized for the customer and, as a result, would include a significant cost to rework in the event of cancellation.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 by revenue recognition method:</w:t>
      </w:r>
    </w:p>
    <w:tbl>
      <w:tblPr>
        <w:tblW w:w="7166" w:type="dxa"/>
        <w:jc w:val="left"/>
        <w:tblInd w:w="0" w:type="dxa"/>
        <w:tblLayout w:type="fixed"/>
        <w:tblCellMar>
          <w:top w:w="28" w:type="dxa"/>
          <w:left w:w="28" w:type="dxa"/>
          <w:bottom w:w="28" w:type="dxa"/>
          <w:right w:w="28" w:type="dxa"/>
        </w:tblCellMar>
      </w:tblPr>
      <w:tblGrid>
        <w:gridCol w:w="446"/>
        <w:gridCol w:w="391"/>
        <w:gridCol w:w="39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disaggregates its revenue from contracts with customers by reportable segment, product type and geography as this best depicts how its revenue is affected by economic factors.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disaggregation of revenue by product type and geography:</w:t>
      </w:r>
    </w:p>
    <w:tbl>
      <w:tblPr>
        <w:tblW w:w="10205" w:type="dxa"/>
        <w:jc w:val="left"/>
        <w:tblInd w:w="0" w:type="dxa"/>
        <w:tblLayout w:type="fixed"/>
        <w:tblCellMar>
          <w:top w:w="28" w:type="dxa"/>
          <w:left w:w="28" w:type="dxa"/>
          <w:bottom w:w="28" w:type="dxa"/>
          <w:right w:w="28" w:type="dxa"/>
        </w:tblCellMar>
      </w:tblPr>
      <w:tblGrid>
        <w:gridCol w:w="1563"/>
        <w:gridCol w:w="1350"/>
        <w:gridCol w:w="135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56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r>
          </w:p>
        </w:tc>
      </w:tr>
      <w:tr>
        <w:trPr/>
        <w:tc>
          <w:tcPr>
            <w:tcW w:w="42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Revenue by Product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 (based on customer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See </w:t>
      </w:r>
      <w:hyperlink w:anchor="i92d0b1c0abeb47668f3051b0d92b1a64_85">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Business Segment Information, for information on the disaggregation of revenue by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contract balances from contracts with customers: </w:t>
      </w:r>
    </w:p>
    <w:tbl>
      <w:tblPr>
        <w:tblW w:w="4490" w:type="dxa"/>
        <w:jc w:val="center"/>
        <w:tblInd w:w="0" w:type="dxa"/>
        <w:tblLayout w:type="fixed"/>
        <w:tblCellMar>
          <w:top w:w="28" w:type="dxa"/>
          <w:left w:w="28" w:type="dxa"/>
          <w:bottom w:w="28" w:type="dxa"/>
          <w:right w:w="28" w:type="dxa"/>
        </w:tblCellMar>
      </w:tblPr>
      <w:tblGrid>
        <w:gridCol w:w="620"/>
        <w:gridCol w:w="544"/>
        <w:gridCol w:w="545"/>
        <w:gridCol w:w="109"/>
        <w:gridCol w:w="109"/>
        <w:gridCol w:w="109"/>
        <w:gridCol w:w="211"/>
        <w:gridCol w:w="721"/>
        <w:gridCol w:w="109"/>
        <w:gridCol w:w="109"/>
        <w:gridCol w:w="109"/>
        <w:gridCol w:w="109"/>
        <w:gridCol w:w="211"/>
        <w:gridCol w:w="721"/>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represent unbilled revenue associated with revenue recognized on contracts accounted for on an over time basis, which will be billed in future periods based on the contract terms. Contract liabilities consist of short- and long-term customer deposits, advanced billings, and deferred revenue. Deferred revenue is included in other current liabilities, and long-term customer deposits are included in other long-term liabilities in the accompanying condensed consolidated balance sheet. Contract liabilities will be recognized as revenue in future periods once the revenue recognition criteria are met. The majority of the contract liabilities relate to advance payments on contracts accounted for at a point in time. These advance payments will be recognized as revenue when the Company's performance obligations have been satisfied, which typically occurs when the product has shipped and control of the asset has transferred to the customer.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revenue of $18,898,000 in the second quarter of 2026 and $13,238,000 in the second quarter of 2025, and $50,906,000 in the first six months of 2026 and $30,797,000 in the first six months of 2025 that was included in the contract liabilities balance at the beginning of 2026 and 2025, respectively. The majority of the Company's contracts for capital equipment products have an original expected duration of one year or less. Certain capital equipment product contracts require longer lead times and could take up to 24 months to complete. For contracts with an original expected duration of over one year, the aggregate amount of the transaction price allocated to the remaining unsatisfied or partially unsatisfied performance obligations was $32,673,000 as of July 4, 2026. The Company will recognize revenue for these performance obligations as they are satisfied, approximately 54% of which is expected to occur within the next twelve months and the remaining 46%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Note Receivable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several agreements with the local government in China, which became effective in 2022, to sell its then-existing manufacturing building and land use rights at one of its subsidiaries in China and relocate to a new facility. The Company received a 31% down payment, with the remaining balance due on the earlier of the sale of the property by the local government or two years from the effective date of the agreements. To date, the local government in China has made various interim payments and the outstanding receivable was $13,553,000 at July 4, 2026, which is included in other current assets in the accompanying condensed consolidated balance sheet. The Company expects this receivable will be repaid in full, although the timing is uncertain.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Banker's Acceptance Drafts Included in Accounts Receivable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Chinese subsidiaries may receive banker's acceptance drafts from customers as payment for their trade accounts receivable. The drafts are non-interest bearing obligations of the issuing bank and generally mature within six months of the origination date. The Company's Chinese subsidiaries may sell the drafts at a discount to a third-party financial institution or transfer the drafts to vendors in settlement of current accounts payable prior to the scheduled maturity date. These drafts, which totaled $6,347,000 at July 4, 2026 and $9,115,000 at January 3, 2026, are included in accounts receivable in the accompanying condensed consolidated balance sheet until the subsidiary sells the drafts to a bank and receives a discounted amount, transfers the banker's acceptance drafts in settlement of current accounts payable prior to maturity, or obtains cash payment on the scheduled maturity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In accordance with Accounting Standards Codification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the Company recognizes deferred income taxes based on the expected future tax consequences of differences between the financial statement basis and the tax basis of assets and liabilities, calculated using enacted tax rates in effect for the year in which these differences are expected to reverse. A tax valuation allowance is established, as needed, to reduce deferred tax assets to the amount expected to be realized. In the period in which it becomes more likely than not that some or all of the deferred tax assets will be realized, the valuation allowance will be adjusted.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the Company's policy to provide for uncertain tax positions and the related interest and penalties based upon management's assessment of whether a tax benefit is more likely than not to be sustained upon examination by tax authorities. The Company recognizes accrued interest and penalties related to unrecognized tax benefits in the provision for income taxes. At July 4, 2026, the Company believes that it has appropriately accounted for any liability for unrecognized tax benefits. To the extent the Company prevails in matters for which a liability for an unrecognized tax benefit is established, the statute of limitations expires for a tax jurisdiction year, or the Company is required to pay amounts in excess of the liability, its effective tax rate in a given financial statement period may be affected.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2021, the Organisation for Economic Co-operation and Development (OECD) released model rules introducing a new 15% global minimum tax for large multinational enterprises with an annual global revenue exceeding 750,000,000 euros (Pillar Two Rules). Since the release of the Pillar Two Rules, the OECD has issued multiple tranches of administrative guidance, as well as guidance on transitional safe harbor relief. Various countries, including the member states of the European Union, have adopted the Pillar Two Rules into their domestic laws, with certain rules coming into effect for fiscal years beginning in fiscal 2024. While the Pillar Two Rules serve as a framework for implementing the minimum tax, countries may enact domestic laws that vary slightly from the Pillar Two Rules and may also adjust domestic tax incentives to align with the Pillar Two Rules on different timelines.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the OECD released additional administrative guidance (Side-by-Side package) introducing new safe harbors. The package includes an elective Side-by-Side safe harbor that, subject to adoption into local law, may exempt eligible U.S. parented multinational groups from the application of certain aspects of the global minimum tax regime for fiscal years beginning on or after January 1, 2026. The Company continues to evaluate the applicability of available safe harbors, monitor developments in OECD guidance and related local-country implementation, and assess the potential impact on the Company’s future Pillar Two compliance obligations and effective tax rate.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including 100% bonus depreciation, domestic research cost expensing pursuant to Internal Revenue Code Section 174, and changes to the calculation of the interest expense limitation. The legislation has multiple effective dates, with certain provisions effective in 2025 and others implemented through 2027. There was no material impact from the OBBBA provisions during the six months ended July 4, 2026. The Company will continue to monitor the impact of the OBBBA and any additional clarifications or interpretive guidance related to the OBBBA as it is released.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00" w:after="283"/>
        <w:ind w:left="0" w:right="0" w:firstLine="720"/>
        <w:jc w:val="left"/>
        <w:rPr/>
      </w:pPr>
      <w:r>
        <w:rPr>
          <w:rFonts w:ascii="Times New Roman;serif" w:hAnsi="Times New Roman;serif"/>
          <w:b w:val="false"/>
          <w:i/>
          <w:color w:val="000000"/>
          <w:sz w:val="20"/>
        </w:rPr>
        <w:t xml:space="preserve">Income Statement – Reporting Comprehensive Income – Expense Disaggregation Disclosure (Topic 220). </w:t>
      </w:r>
      <w:r>
        <w:rPr>
          <w:rFonts w:ascii="Times New Roman;serif" w:hAnsi="Times New Roman;serif"/>
          <w:b w:val="false"/>
          <w:color w:val="000000"/>
          <w:sz w:val="20"/>
        </w:rPr>
        <w:t xml:space="preserve">In November 2024, the Financial Accounting Standards Board (FASB) issued Accounting Standards Update (ASU) No. 2024-03, to disaggregate operating expense into specific categories to provide enhanced transparency into the nature and function of expenses. This ASU is effective for fiscal year-end 2027 and interim periods beginning in fiscal 2028, with early adoption permitted and may be applied retrospectively. The Company is currently evaluating the effect that the adoption of this ASU will have on its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100" w:after="283"/>
        <w:ind w:left="0" w:right="0" w:firstLine="720"/>
        <w:jc w:val="left"/>
        <w:rPr/>
      </w:pP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 xml:space="preserve">In July 2025, the FASB issued ASU No. 2025-05, to provide for a practical expedient permitting an entity to assume that conditions at the balance sheet date remained unchanged over the life of the asset when estimating expected credit losses for current accounts receivable and current contract assets accounted for under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The Company adopted this ASU during the first quarter of 2026, which did not have an impact on its consolidated financial statements.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Intangibles - Goodwill and Other-Internal-Use Software (Subtopic 350-40): Targeted Improvements to the Accounting for Internal-Use Software. </w:t>
      </w:r>
      <w:r>
        <w:rPr>
          <w:rFonts w:ascii="Times New Roman;serif" w:hAnsi="Times New Roman;serif"/>
          <w:b w:val="false"/>
          <w:color w:val="000000"/>
          <w:sz w:val="20"/>
        </w:rPr>
        <w:t>In September 2025, the FASB issued ASU No. 2025-06 which improves the practicality of the guidance by removing all references to software development project stages so that the guidance is neutral to different software development methods. Under this ASU, eligible software development costs will begin capitalization when management has authorized and committed to funding the software project, it is probable that the project will be completed, and the software will be used to perform the function intended. This ASU is effective for fiscal year 2028, with early adoption permitted and may be applied retrospectively. The Company is currently evaluating the effect that the adoption of this ASU will have on its consolidated financial statements.</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In December 2025, the FASB issued ASU No. 2025-11, which clarifies the guidance to improve the consistency of interim reporting. This ASU provides a comprehensive list of required interim disclosures and introduces a disclosure principle requiring entities to disclose events since the end of the last annual reporting period that have had a material impact on the entity. This ASU is effective for fiscal year 2028, with early adoption permitted. The Company is currently evaluating the effect that the adoption of this ASU will have on its consolidated financial statements.</w:t>
      </w:r>
    </w:p>
    <w:p>
      <w:pPr>
        <w:pStyle w:val="TextBody"/>
        <w:bidi w:val="0"/>
        <w:spacing w:lineRule="auto" w:line="288" w:before="0" w:after="0"/>
        <w:ind w:left="0" w:right="0" w:firstLine="720"/>
        <w:jc w:val="left"/>
        <w:rPr/>
      </w:pPr>
      <w:r>
        <w:rPr>
          <w:rFonts w:ascii="Times New Roman;serif" w:hAnsi="Times New Roman;serif"/>
          <w:b w:val="false"/>
          <w:i/>
          <w:color w:val="000000"/>
          <w:sz w:val="20"/>
        </w:rPr>
        <w:t>Environmental Credits and Environmental Credit Obligations (Topic 818).</w:t>
      </w:r>
      <w:r>
        <w:rPr>
          <w:color w:val="000000"/>
        </w:rPr>
        <w:t xml:space="preserve"> </w:t>
      </w:r>
      <w:r>
        <w:rPr>
          <w:rFonts w:ascii="Times New Roman;serif" w:hAnsi="Times New Roman;serif"/>
          <w:b w:val="false"/>
          <w:color w:val="000000"/>
          <w:sz w:val="20"/>
        </w:rPr>
        <w:t>In May 2026, the FASB issued ASU No. 2026-02, which establishes guidance for the recognition, measurement, presentation, and disclosure of environmental credits and environmental credit obligations. This ASU is intended to reduce diversity in practice for entities that generate, purchase, sell, or use environmental credits. This ASU is effective for annual and interim reporting periods beginning in fiscal year 2028, with early adoption permitted. The Company is currently evaluating the effect that adoption of this ASU will have on its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acquisitions are accounted for using the acquisition method of accounting. The results of the acquired businesses are included in its condensed consolidated financial statements from the date of acquisition. Historically, acquisitions have been made at prices above the fair value of identifiable net assets, resulting in the recognition of goodwill. Acquisition costs were $604,000 in the second quarter of 2026 and $1,278,000 in the six months ended July 4, 2026, and are included in selling, general and administrative (SG&amp;A) expenses in the accompanying condensed consolidated statement of income.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29, 2026, the Company entered into a definitive agreement to acquire the shares of voestalpine BÖHLER Profil GmbH &amp; Co KG and voestalpine BÖHLER Profil VerwaltungsGmbH. The acquisition was completed on April 30, 2026 for $170,132,000, net of cash acquired and the noncash settlement of a pre-existing balance with the acquired entity, and remains subject to a post-closing purchase price adjustment. The acquisition was funded through borrowings under the Company's revolving credit facility. Upon closing, the acquired entities were renamed Kadant Profil GmbH &amp; Co KG and Kadant Profil Verwaltungs GmbH (collectively, Kadant Profil). Kadant Profil is a manufacturer of customized rolled profiles and industrial knife solutions for demanding industrial applications and is part of the Company's Industrial Processing segment. The Company expects the acquisition to generate synergies by expanding product sales into new markets through its global sales network and relationships, broadening its product portfolio, strengthening its position in the markets it serves, leveraging the acquired workforce, and achieving internal production efficiencies. Goodwill recognized in the Kadant Profil acquisition was $111,140,000 and separately identifiable intangible assets acquired were $22,219,000, both of which are expected to be fully deductible for income tax purposes over 15 years.</w:t>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estimated fair values of assets acquired and liabilities assumed in connection with the acquisition of Kadant Profil.</w:t>
      </w:r>
    </w:p>
    <w:tbl>
      <w:tblPr>
        <w:tblW w:w="7222" w:type="dxa"/>
        <w:jc w:val="left"/>
        <w:tblInd w:w="0" w:type="dxa"/>
        <w:tblLayout w:type="fixed"/>
        <w:tblCellMar>
          <w:top w:w="28" w:type="dxa"/>
          <w:left w:w="28" w:type="dxa"/>
          <w:bottom w:w="28" w:type="dxa"/>
          <w:right w:w="28" w:type="dxa"/>
        </w:tblCellMar>
      </w:tblPr>
      <w:tblGrid>
        <w:gridCol w:w="2029"/>
        <w:gridCol w:w="1780"/>
        <w:gridCol w:w="1786"/>
        <w:gridCol w:w="109"/>
        <w:gridCol w:w="109"/>
        <w:gridCol w:w="109"/>
        <w:gridCol w:w="109"/>
        <w:gridCol w:w="211"/>
        <w:gridCol w:w="82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5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technology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Purchase Price: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settlement of pre-existing balance with the acquired entity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post-closing adjustment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amortization period for the definite-lived intangible assets related to the Kadant Profil acquisition is 17 years, including weighted-average periods of 24 years for customer relationships and 14 years for product technology.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for the Kadant Profil acquisition remains subject to revision as the Company continues to obtain information regarding the valuation of certain acquired assets and assumed liabilities. The Company expects the remaining purchase price adjustments to primarily relate to the valuation of intangible assets and inventory.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2025</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July 4, 2026, the Company recorded measurement-period adjustments related to its acquisitions of Babbini S.p.A. and G.P.S. Engineering S.r.l. (collectively, Babbini) on July 9, 2025, and Clyde Industries Holdings, Inc. and its subsidiaries (collectively, Clyde Industries) on October 7, 2025. The adjustments primarily related to inventory and deferred income taxes and were not material to the Company's condensed consolidated financial statements as of and for the three and six months ended July 4, 2026.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for the Clyde Industries acquisition remains subject to revision as the Company continues to obtain information regarding the valuation of certain acquired assets and assumed liabilities. The Company expects the remaining purchase price adjustments will primarily relate to the valuation of inventory and deferred income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2024</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21, 2024, the Company acquired a technology company, which is included in its Material Handling segment. The total purchase price was approximately $11,785,000, which included cash paid of $8,843,000, net of cash acquired, a post-closing holdback payment of $1,157,000, which was paid during the first quarter of 2026, and contingent consideration with a fair value of $1,785,000 as of the acquisition date. The contingent consideration is payable upon the achievement of certain revenue performance targets earned between June 30, 2025 and June 30, 2027. The maximum future value of the contingent consideration subject to payment is approximately $12,140,000, calculated using the foreign currency spot rate at July 4, 2026. The fair value of the contingent consideration is dependent on the following assumptions: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100" w:after="283"/>
        <w:ind w:left="0" w:right="0" w:firstLine="720"/>
        <w:jc w:val="left"/>
        <w:rPr/>
      </w:pPr>
      <w:r>
        <w:rPr/>
      </w:r>
    </w:p>
    <w:p>
      <w:pPr>
        <w:pStyle w:val="TextBody"/>
        <w:bidi w:val="0"/>
        <w:spacing w:lineRule="auto" w:line="288" w:before="100" w:after="283"/>
        <w:jc w:val="left"/>
        <w:rPr/>
      </w:pPr>
      <w:r>
        <w:rPr>
          <w:rFonts w:ascii="Times New Roman;serif" w:hAnsi="Times New Roman;serif"/>
          <w:b w:val="false"/>
          <w:color w:val="000000"/>
          <w:sz w:val="20"/>
        </w:rPr>
        <w:t xml:space="preserve">probability of successful achievement of certain revenue targets, forecasted revenue, revenue volatility, and discount rate. See </w:t>
      </w:r>
      <w:hyperlink w:anchor="i92d0b1c0abeb47668f3051b0d92b1a64_82">
        <w:r>
          <w:rPr>
            <w:rStyle w:val="InternetLink"/>
            <w:rFonts w:ascii="Times New Roman;serif" w:hAnsi="Times New Roman;serif"/>
            <w:b w:val="false"/>
            <w:color w:val="0000FF"/>
            <w:sz w:val="20"/>
            <w:u w:val="single"/>
          </w:rPr>
          <w:t>Note 8</w:t>
        </w:r>
      </w:hyperlink>
      <w:r>
        <w:rPr>
          <w:rFonts w:ascii="Times New Roman;serif" w:hAnsi="Times New Roman;serif"/>
          <w:b w:val="false"/>
          <w:color w:val="000000"/>
          <w:sz w:val="20"/>
        </w:rPr>
        <w:t>, Fair Value Measurements and Fair Value of Financial Instruments, for additional information related to the fair value of the contingent consideration assumed in the acquisition.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Earnings per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per share (EPS) were calculated as follows:</w:t>
      </w:r>
    </w:p>
    <w:tbl>
      <w:tblPr>
        <w:tblW w:w="10205" w:type="dxa"/>
        <w:jc w:val="left"/>
        <w:tblInd w:w="0" w:type="dxa"/>
        <w:tblLayout w:type="fixed"/>
        <w:tblCellMar>
          <w:top w:w="28" w:type="dxa"/>
          <w:left w:w="28" w:type="dxa"/>
          <w:bottom w:w="28" w:type="dxa"/>
          <w:right w:w="28" w:type="dxa"/>
        </w:tblCellMar>
      </w:tblPr>
      <w:tblGrid>
        <w:gridCol w:w="1744"/>
        <w:gridCol w:w="1466"/>
        <w:gridCol w:w="1476"/>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74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Kadant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Restricted Stock Units and Employee Stock Purchase Plan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 of outstanding and unvested restricted stock units (RSUs) of the Company’s common stock totaling 27,000 shares in the second quarter of 2026, 27,000 shares in the second quarter of 2025, 36,000 shares in the first six months of 2026 and 26,000 shares in the first six months of 2025 were not included in the computation of diluted EPS for the respective periods as the effect would have been antidilutive or, for unvested performance-based RSUs, the performance conditions had not been met as of the end of the respective reporting periods.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Provision for Income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income taxes was $23,324,000 in the first six months of 2026 and $17,650,000 in the first six months of 2025.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of 28.4% in the first six months of 2026 was higher than the Company’s statutory rate of 21% primarily due to the distribution of the Company’s worldwide earnings, state taxes, and nondeductible expenses.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of 25.7% in the first six months of 2025 was higher than the Company's statutory rate of 21% primarily due to nondeductible expenses, the distribution of the Company's worldwide earnings, and state taxes. These items were offset in part by net excess income tax benefits from stock-based compensation arrangements.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Long-Term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obligations are as follows:</w:t>
      </w:r>
    </w:p>
    <w:tbl>
      <w:tblPr>
        <w:tblW w:w="7250" w:type="dxa"/>
        <w:jc w:val="left"/>
        <w:tblInd w:w="0" w:type="dxa"/>
        <w:tblLayout w:type="fixed"/>
        <w:tblCellMar>
          <w:top w:w="28" w:type="dxa"/>
          <w:left w:w="28" w:type="dxa"/>
          <w:bottom w:w="28" w:type="dxa"/>
          <w:right w:w="28" w:type="dxa"/>
        </w:tblCellMar>
      </w:tblPr>
      <w:tblGrid>
        <w:gridCol w:w="1545"/>
        <w:gridCol w:w="1355"/>
        <w:gridCol w:w="1359"/>
        <w:gridCol w:w="109"/>
        <w:gridCol w:w="109"/>
        <w:gridCol w:w="109"/>
        <w:gridCol w:w="211"/>
        <w:gridCol w:w="826"/>
        <w:gridCol w:w="109"/>
        <w:gridCol w:w="109"/>
        <w:gridCol w:w="109"/>
        <w:gridCol w:w="109"/>
        <w:gridCol w:w="211"/>
        <w:gridCol w:w="826"/>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Facility, due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Promissory Notes, due 2026 to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due 2026 to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Borrowings, due 2026 to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See </w:t>
      </w:r>
      <w:hyperlink w:anchor="i92d0b1c0abeb47668f3051b0d92b1a64_82">
        <w:r>
          <w:rPr>
            <w:rStyle w:val="InternetLink"/>
            <w:rFonts w:ascii="Times New Roman;serif" w:hAnsi="Times New Roman;serif"/>
            <w:b w:val="false"/>
            <w:color w:val="0000FF"/>
            <w:sz w:val="20"/>
            <w:u w:val="single"/>
          </w:rPr>
          <w:t>Note 8</w:t>
        </w:r>
      </w:hyperlink>
      <w:r>
        <w:rPr>
          <w:rFonts w:ascii="Times New Roman;serif" w:hAnsi="Times New Roman;serif"/>
          <w:b w:val="false"/>
          <w:color w:val="000000"/>
          <w:sz w:val="20"/>
        </w:rPr>
        <w:t>, Fair Value Measurements and Fair Value of Financial Instruments, for the fair value information related to the Company's long-term obligations.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unsecured multi-currency revolving credit facility dated as of March 1, 2017 (as amended and restated to date, the Credit Agreement) matures on September 26, 2030 and has a borrowing capacity of $750,000,000, in addition to an uncommitted, unsecured incremental borrowing facility of $200,000,000.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the Company borrowed approximately $181,815,000 of euro-denominated debt under the Credit Agreement to finance the acquisition of Kadant Profil. As of July 4, 2026, the outstanding balance under the Credit Agreement was $502,452,000, which included $245,452,000 of euro-denominated borrowings. The Company had $248,668,000 of committed borrowing capacity available as of July 4, 2026, which was primarily calculated by translating its foreign-denominated borrowings using the administrative agent's borrowing date foreign exchange rates, in addition to the $200,000,000 uncommitted, unsecured incremental borrowing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for the outstanding balance under the Credit Agreement was 4.19% as of July 4, 2026 and 4.49% as of January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Compliance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July 4, 2026, the Company was in compliance with the covenants related to its debt obligations.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of $2,879,000 in the second quarter of 2026, $3,063,000 in the second quarter of 2025, $5,795,000 in the first six months of 2026 and $5,820,000 in the first six months of 2025 within SG&amp;A expenses in the accompanying condensed consolidated statement of income. Unrecognized compensation expense related to stock-based compensation totaled $14,556,000 at July 4, 2026, which will be recognized over a weighted average period of 1.8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Non-Employee Director RSUs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granted an aggregate of 2,565 RSUs to its non-employee directors with an aggregate grant date fair value of $850,000. Twenty-five percent of the RSUs vest on the last day of each fiscal quarter in 2026, subject to the director's continued service through the applicable vesting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Performance-based RSUs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10, 2026, the Company granted performance-based RSUs to certain of its officers, which represented, in aggregate, the right to receive 18,665 shares (target RSU amount), with an aggregate grant date fair value of $6,186,000. The RSUs are subject to adjustment based on the achievement of the performance measure selected for the fiscal year, which is a specified target for adjusted earnings before interest, taxes, depreciation, and amortization (target adjusted EBITDA) generated from operations for the fiscal year. The RSUs are adjusted by comparing the actual adjusted EBITDA for the performance period to the target adjusted EBITDA. Actual adjusted EBITDA between 50% and 100% of the target adjusted EBITDA results in an adjustment of 50% to 100% of the target RSU amount. Actual adjusted EBITDA between 100% and 115% of the target adjusted EBITDA results in an adjustment using a straight-line linear scale between 100% and 150% of the target RSU amount. Actual adjusted EBITDA in excess of 115% results in an adjustment capped at 150% of the target RSU amount. If actual adjusted EBITDA is below 50% of the target adjusted EBITDA for the 2026 fiscal year, these performance-based RSUs will be forfeited. The Company recognizes compensation expense based on the probable number of performance-based RSUs expected to vest. Following the adjustment, the performance-based RSUs will be subject to additional time-based vesting, and will vest in three equal annual installments on March 10 of 2027, 2028, and 2029, provided that the officer is employed by the Company on the applicable vesting 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Time-based RSUs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10, 2026, the Company granted time-based RSUs representing 13,658 shares to certain of its officers and employees with an aggregate grant date fair value of $4,526,000. These time-based RSUs vest in three equal annual installments on March 10 of 2027, 2028, and 2029, provided that a recipient is employed by the Company on the applicable vesting dates.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Accumulated Other Comprehensive Items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Comprehensive income combines net income and other comprehensive items, which represent certain amounts that are reported as components of stockholders' equity in the accompanying condensed consolidated balance sheet.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each component of accumulated other comprehensive items (AOCI), net of tax, are as follows:</w:t>
      </w:r>
    </w:p>
    <w:tbl>
      <w:tblPr>
        <w:tblW w:w="10205" w:type="dxa"/>
        <w:jc w:val="left"/>
        <w:tblInd w:w="0" w:type="dxa"/>
        <w:tblLayout w:type="fixed"/>
        <w:tblCellMar>
          <w:top w:w="28" w:type="dxa"/>
          <w:left w:w="28" w:type="dxa"/>
          <w:bottom w:w="28" w:type="dxa"/>
          <w:right w:w="28" w:type="dxa"/>
        </w:tblCellMar>
      </w:tblPr>
      <w:tblGrid>
        <w:gridCol w:w="1177"/>
        <w:gridCol w:w="762"/>
        <w:gridCol w:w="723"/>
        <w:gridCol w:w="109"/>
        <w:gridCol w:w="109"/>
        <w:gridCol w:w="109"/>
        <w:gridCol w:w="402"/>
        <w:gridCol w:w="1485"/>
        <w:gridCol w:w="207"/>
        <w:gridCol w:w="109"/>
        <w:gridCol w:w="109"/>
        <w:gridCol w:w="109"/>
        <w:gridCol w:w="965"/>
        <w:gridCol w:w="1651"/>
        <w:gridCol w:w="501"/>
        <w:gridCol w:w="109"/>
        <w:gridCol w:w="109"/>
        <w:gridCol w:w="109"/>
        <w:gridCol w:w="109"/>
        <w:gridCol w:w="109"/>
        <w:gridCol w:w="211"/>
        <w:gridCol w:w="761"/>
        <w:gridCol w:w="161"/>
      </w:tblGrid>
      <w:tr>
        <w:trPr/>
        <w:tc>
          <w:tcPr>
            <w:tcW w:w="117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Liability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(35,369)</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items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(42,563)</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Fair Value Measurements and Fair Value of Financial Instruments </w:t>
      </w:r>
    </w:p>
    <w:p>
      <w:pPr>
        <w:pStyle w:val="TextBody"/>
        <w:bidi w:val="0"/>
        <w:spacing w:before="0" w:after="0"/>
        <w:ind w:left="0" w:right="0" w:firstLine="720"/>
        <w:jc w:val="left"/>
        <w:rPr/>
      </w:pPr>
      <w:r>
        <w:rPr/>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1—Quoted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2—Inputs, other than quoted prices in active markets, that are observable either directly or indirectly.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Level 3—Unobservable inputs based on the Company's own assumptions.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hierarchy for those assets and liabilities measured at fair value on a recurring basis:</w:t>
      </w:r>
    </w:p>
    <w:tbl>
      <w:tblPr>
        <w:tblW w:w="8832" w:type="dxa"/>
        <w:jc w:val="left"/>
        <w:tblInd w:w="0" w:type="dxa"/>
        <w:tblLayout w:type="fixed"/>
        <w:tblCellMar>
          <w:top w:w="28" w:type="dxa"/>
          <w:left w:w="28" w:type="dxa"/>
          <w:bottom w:w="28" w:type="dxa"/>
          <w:right w:w="28" w:type="dxa"/>
        </w:tblCellMar>
      </w:tblPr>
      <w:tblGrid>
        <w:gridCol w:w="1278"/>
        <w:gridCol w:w="1122"/>
        <w:gridCol w:w="1125"/>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as of July 4, 2026</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and time deposits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Banker's acceptance drafts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32" w:type="dxa"/>
        <w:jc w:val="left"/>
        <w:tblInd w:w="0" w:type="dxa"/>
        <w:tblLayout w:type="fixed"/>
        <w:tblCellMar>
          <w:top w:w="28" w:type="dxa"/>
          <w:left w:w="28" w:type="dxa"/>
          <w:bottom w:w="28" w:type="dxa"/>
          <w:right w:w="28" w:type="dxa"/>
        </w:tblCellMar>
      </w:tblPr>
      <w:tblGrid>
        <w:gridCol w:w="1278"/>
        <w:gridCol w:w="1122"/>
        <w:gridCol w:w="1125"/>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as of January 3, 2026</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and time deposits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Banker's acceptance drafts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(a)Included in cash and cash equivalents in the accompanying condensed consolidated balance sheet.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(b)Included in accounts receivable in the accompanying condensed consolidated balance sheet.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(c)Included in other long-term liabilities in the accompanying condensed consolidated balance sheet.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market approach technique to value its Level 1 and Level 2 financial assets and liabilities, and there were no changes in valuation techniques during the first six months of 2026. Banker's acceptance drafts are carried at face value, which approximates their fair value due to the short-term nature of the negotiable instrument.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income approach technique to estimate the fair value of its Level 3 contingent consideration, including valuation models that incorporate probability adjusted assumptions and simulations related to the achievement of milestones and the likelihood of making the related payment. The unobservable inputs used in the fair value measurements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 the probability of successful achievement of certain revenue targets, forecasted revenue, revenue volatility, and discount rates. These assumptions were estimated based on a review of historical and projected results. Projected contingent consideration related to revenue-based payments is discounted back to the current period using a discounted cash flow model. Changes to the fair value of contingent consideration can result from changes to one or multiple inputs, including the discount rate, projected revenue, revenue volatility, and the assumed probabilities of successful achievement of certain revenue targets. There were no changes in the valuation techniques or significant unobservable inputs used in measuring the contingent consideration during the first six months of 2026.</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change in the fair value of the contingent consideration as determined by Level 3 inputs:</w:t>
      </w:r>
    </w:p>
    <w:tbl>
      <w:tblPr>
        <w:tblW w:w="5091" w:type="dxa"/>
        <w:jc w:val="left"/>
        <w:tblInd w:w="0" w:type="dxa"/>
        <w:tblLayout w:type="fixed"/>
        <w:tblCellMar>
          <w:top w:w="28" w:type="dxa"/>
          <w:left w:w="28" w:type="dxa"/>
          <w:bottom w:w="28" w:type="dxa"/>
          <w:right w:w="28" w:type="dxa"/>
        </w:tblCellMar>
      </w:tblPr>
      <w:tblGrid>
        <w:gridCol w:w="914"/>
        <w:gridCol w:w="802"/>
        <w:gridCol w:w="804"/>
        <w:gridCol w:w="109"/>
        <w:gridCol w:w="109"/>
        <w:gridCol w:w="109"/>
        <w:gridCol w:w="211"/>
        <w:gridCol w:w="616"/>
        <w:gridCol w:w="109"/>
        <w:gridCol w:w="109"/>
        <w:gridCol w:w="109"/>
        <w:gridCol w:w="109"/>
        <w:gridCol w:w="211"/>
        <w:gridCol w:w="616"/>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and fair value of debt obligations, excluding lease obligations, are as follows:</w:t>
      </w:r>
    </w:p>
    <w:tbl>
      <w:tblPr>
        <w:tblW w:w="8473" w:type="dxa"/>
        <w:jc w:val="left"/>
        <w:tblInd w:w="0" w:type="dxa"/>
        <w:tblLayout w:type="fixed"/>
        <w:tblCellMar>
          <w:top w:w="28" w:type="dxa"/>
          <w:left w:w="28" w:type="dxa"/>
          <w:bottom w:w="28" w:type="dxa"/>
          <w:right w:w="28" w:type="dxa"/>
        </w:tblCellMar>
      </w:tblPr>
      <w:tblGrid>
        <w:gridCol w:w="773"/>
        <w:gridCol w:w="678"/>
        <w:gridCol w:w="679"/>
        <w:gridCol w:w="109"/>
        <w:gridCol w:w="109"/>
        <w:gridCol w:w="109"/>
        <w:gridCol w:w="248"/>
        <w:gridCol w:w="973"/>
        <w:gridCol w:w="128"/>
        <w:gridCol w:w="109"/>
        <w:gridCol w:w="109"/>
        <w:gridCol w:w="109"/>
        <w:gridCol w:w="211"/>
        <w:gridCol w:w="826"/>
        <w:gridCol w:w="109"/>
        <w:gridCol w:w="109"/>
        <w:gridCol w:w="109"/>
        <w:gridCol w:w="109"/>
        <w:gridCol w:w="248"/>
        <w:gridCol w:w="973"/>
        <w:gridCol w:w="128"/>
        <w:gridCol w:w="109"/>
        <w:gridCol w:w="109"/>
        <w:gridCol w:w="109"/>
        <w:gridCol w:w="211"/>
        <w:gridCol w:w="826"/>
        <w:gridCol w:w="154"/>
      </w:tblGrid>
      <w:tr>
        <w:trPr/>
        <w:tc>
          <w:tcPr>
            <w:tcW w:w="7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2026</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promissory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508,239 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372,720 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revolving credit facility approximates the fair value as the obligation bears variable rates of interest, which adjust frequently, based on prevailing market rates. The fair value of the revolving credit facility is based on observable market interest rates and credit spreads available for similar instruments, which represent Level 2 measurements. The fair value of the senior promissory notes is primarily calculated based on quoted market rates plus an applicable margin available to the Company at the respective period end, which represent Level 2 measurements.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Business 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global supplier of technologies and engineered systems that drive Sustainable Industrial Processing and operates in three reportable segments consisting of its Flow Control segment, Industrial Processing segment, and Material Handling segment. The Company aggregates its operating segments into its reportable segments where they contain similar products and economic characteristics, and share similar types of customers and production and distribution methods. The Flow Control segment is comprised of its fluid-handling and its doctoring, cleaning, &amp; filtration operating segments, and the Industrial Processing segment is comprised of its wood processing and its fiber processing operating segments.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Company's reportable segments is led by a segment vice president, who reports directly to the Chief Executive Officer (CEO). The Company has determined that its CEO is its Chief Operating Decision Maker (CODM) who is responsible for assessing performance and allocating resources. The CODM utilizes segment gross profit margin and segment operating income margin to evaluate the performance of each segment and allocate resources effectively. The CODM primarily reviews these profit measures in comparison to forecasts, trends, key performance targets, and results of industry peers to assess profitability, identify areas for improvement, and make strategic decisions regarding investments and resource allocation within each segment.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description of each reportable segment follows: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Flow Control</w:t>
      </w:r>
      <w:r>
        <w:rPr>
          <w:color w:val="000000"/>
        </w:rPr>
        <w:t xml:space="preserve"> – </w:t>
      </w:r>
      <w:r>
        <w:rPr>
          <w:rFonts w:ascii="Times New Roman;serif" w:hAnsi="Times New Roman;serif"/>
          <w:b w:val="false"/>
          <w:color w:val="000000"/>
          <w:sz w:val="20"/>
        </w:rPr>
        <w:t xml:space="preserve">Custom-engineered products, systems, and technologies that control the flow of fluids used in industrial and commercial applications to keep critical processes running efficiently in the packaging, paper and tissue, food, energy, defense, and numerous other industrial sectors. The Company's primary products include rotary sealing devices, steam systems, expansion joints, doctor systems, roll and fabric cleaning devices, and filtration and fiber recovery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Industrial Processing</w:t>
      </w:r>
      <w:r>
        <w:rPr>
          <w:color w:val="000000"/>
        </w:rPr>
        <w:t xml:space="preserve"> – </w:t>
      </w:r>
      <w:r>
        <w:rPr>
          <w:rFonts w:ascii="Times New Roman;serif" w:hAnsi="Times New Roman;serif"/>
          <w:b w:val="false"/>
          <w:color w:val="000000"/>
          <w:sz w:val="20"/>
        </w:rPr>
        <w:t xml:space="preserve">Equipment, machinery, and technologies used to recycle paper and paperboard, process timber, and optimize industrial steam boiler efficiency in the packaging, paper, tissue, wood products and food processing industries, among others. The Company's primary products include fiber processing systems and recycling equipment, chemical pulping equipment, debarkers, stranders, chippers, custom-engineered profiles and industrial blades, boiler cleaning technologies, and continuous dewatering equipment.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Material Handling</w:t>
      </w:r>
      <w:r>
        <w:rPr>
          <w:color w:val="000000"/>
        </w:rPr>
        <w:t xml:space="preserve"> – </w:t>
      </w:r>
      <w:r>
        <w:rPr>
          <w:rFonts w:ascii="Times New Roman;serif" w:hAnsi="Times New Roman;serif"/>
          <w:b w:val="false"/>
          <w:color w:val="000000"/>
          <w:sz w:val="20"/>
        </w:rPr>
        <w:t>Products and engineered systems used to handle bulk and discrete materials for secondary processing or transport in the aggregates, mining, food, and waste management industries, among others. The Company's primary products include conveying and vibratory equipment and balers. In addition, the Company manufactures and sells biodegradable, absorbent granules used as carriers in agricultural, home lawn and garden, professional lawn, turf and ornamental applications, and for oil and grease absorption.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financial information for the Company's reportable segments:</w:t>
      </w:r>
    </w:p>
    <w:tbl>
      <w:tblPr>
        <w:tblW w:w="10205" w:type="dxa"/>
        <w:jc w:val="left"/>
        <w:tblInd w:w="0" w:type="dxa"/>
        <w:tblLayout w:type="fixed"/>
        <w:tblCellMar>
          <w:top w:w="28" w:type="dxa"/>
          <w:left w:w="28" w:type="dxa"/>
          <w:bottom w:w="28" w:type="dxa"/>
          <w:right w:w="28" w:type="dxa"/>
        </w:tblCellMar>
      </w:tblPr>
      <w:tblGrid>
        <w:gridCol w:w="1143"/>
        <w:gridCol w:w="999"/>
        <w:gridCol w:w="998"/>
        <w:gridCol w:w="109"/>
        <w:gridCol w:w="109"/>
        <w:gridCol w:w="109"/>
        <w:gridCol w:w="217"/>
        <w:gridCol w:w="853"/>
        <w:gridCol w:w="111"/>
        <w:gridCol w:w="109"/>
        <w:gridCol w:w="109"/>
        <w:gridCol w:w="109"/>
        <w:gridCol w:w="328"/>
        <w:gridCol w:w="1288"/>
        <w:gridCol w:w="169"/>
        <w:gridCol w:w="109"/>
        <w:gridCol w:w="109"/>
        <w:gridCol w:w="109"/>
        <w:gridCol w:w="322"/>
        <w:gridCol w:w="1104"/>
        <w:gridCol w:w="166"/>
        <w:gridCol w:w="109"/>
        <w:gridCol w:w="109"/>
        <w:gridCol w:w="109"/>
        <w:gridCol w:w="211"/>
        <w:gridCol w:w="826"/>
        <w:gridCol w:w="162"/>
      </w:tblGrid>
      <w:tr>
        <w:trPr/>
        <w:tc>
          <w:tcPr>
            <w:tcW w:w="114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July 4, 2026</w:t>
            </w:r>
          </w:p>
        </w:tc>
      </w:tr>
      <w:tr>
        <w:trPr/>
        <w:tc>
          <w:tcPr>
            <w:tcW w:w="3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 thousands)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43.8%</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Segment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9"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703"/>
        <w:gridCol w:w="699"/>
        <w:gridCol w:w="109"/>
        <w:gridCol w:w="109"/>
        <w:gridCol w:w="109"/>
        <w:gridCol w:w="259"/>
        <w:gridCol w:w="757"/>
        <w:gridCol w:w="134"/>
        <w:gridCol w:w="109"/>
        <w:gridCol w:w="109"/>
        <w:gridCol w:w="109"/>
        <w:gridCol w:w="379"/>
        <w:gridCol w:w="1109"/>
        <w:gridCol w:w="196"/>
        <w:gridCol w:w="109"/>
        <w:gridCol w:w="109"/>
        <w:gridCol w:w="109"/>
        <w:gridCol w:w="341"/>
        <w:gridCol w:w="995"/>
        <w:gridCol w:w="176"/>
        <w:gridCol w:w="109"/>
        <w:gridCol w:w="109"/>
        <w:gridCol w:w="109"/>
        <w:gridCol w:w="283"/>
        <w:gridCol w:w="485"/>
        <w:gridCol w:w="148"/>
        <w:gridCol w:w="109"/>
        <w:gridCol w:w="109"/>
        <w:gridCol w:w="109"/>
        <w:gridCol w:w="211"/>
        <w:gridCol w:w="721"/>
        <w:gridCol w:w="160"/>
      </w:tblGrid>
      <w:tr>
        <w:trPr/>
        <w:tc>
          <w:tcPr>
            <w:tcW w:w="81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44"/>
        <w:gridCol w:w="999"/>
        <w:gridCol w:w="999"/>
        <w:gridCol w:w="109"/>
        <w:gridCol w:w="109"/>
        <w:gridCol w:w="109"/>
        <w:gridCol w:w="239"/>
        <w:gridCol w:w="819"/>
        <w:gridCol w:w="123"/>
        <w:gridCol w:w="109"/>
        <w:gridCol w:w="109"/>
        <w:gridCol w:w="109"/>
        <w:gridCol w:w="362"/>
        <w:gridCol w:w="1236"/>
        <w:gridCol w:w="186"/>
        <w:gridCol w:w="109"/>
        <w:gridCol w:w="109"/>
        <w:gridCol w:w="109"/>
        <w:gridCol w:w="322"/>
        <w:gridCol w:w="1104"/>
        <w:gridCol w:w="166"/>
        <w:gridCol w:w="109"/>
        <w:gridCol w:w="109"/>
        <w:gridCol w:w="109"/>
        <w:gridCol w:w="211"/>
        <w:gridCol w:w="826"/>
        <w:gridCol w:w="161"/>
      </w:tblGrid>
      <w:tr>
        <w:trPr/>
        <w:tc>
          <w:tcPr>
            <w:tcW w:w="114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28, 2025</w:t>
            </w:r>
          </w:p>
        </w:tc>
      </w:tr>
      <w:tr>
        <w:trPr/>
        <w:tc>
          <w:tcPr>
            <w:tcW w:w="3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45.9%</w:t>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Segment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0"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7"/>
        <w:gridCol w:w="718"/>
        <w:gridCol w:w="715"/>
        <w:gridCol w:w="109"/>
        <w:gridCol w:w="109"/>
        <w:gridCol w:w="109"/>
        <w:gridCol w:w="261"/>
        <w:gridCol w:w="763"/>
        <w:gridCol w:w="135"/>
        <w:gridCol w:w="109"/>
        <w:gridCol w:w="109"/>
        <w:gridCol w:w="109"/>
        <w:gridCol w:w="386"/>
        <w:gridCol w:w="1128"/>
        <w:gridCol w:w="200"/>
        <w:gridCol w:w="109"/>
        <w:gridCol w:w="109"/>
        <w:gridCol w:w="109"/>
        <w:gridCol w:w="346"/>
        <w:gridCol w:w="1011"/>
        <w:gridCol w:w="179"/>
        <w:gridCol w:w="109"/>
        <w:gridCol w:w="109"/>
        <w:gridCol w:w="109"/>
        <w:gridCol w:w="266"/>
        <w:gridCol w:w="512"/>
        <w:gridCol w:w="138"/>
        <w:gridCol w:w="109"/>
        <w:gridCol w:w="109"/>
        <w:gridCol w:w="109"/>
        <w:gridCol w:w="211"/>
        <w:gridCol w:w="616"/>
        <w:gridCol w:w="158"/>
      </w:tblGrid>
      <w:tr>
        <w:trPr/>
        <w:tc>
          <w:tcPr>
            <w:tcW w:w="82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7945" w:type="dxa"/>
            <w:gridSpan w:val="30"/>
            <w:tcBorders/>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3"/>
        <w:gridCol w:w="999"/>
        <w:gridCol w:w="998"/>
        <w:gridCol w:w="109"/>
        <w:gridCol w:w="109"/>
        <w:gridCol w:w="109"/>
        <w:gridCol w:w="217"/>
        <w:gridCol w:w="853"/>
        <w:gridCol w:w="111"/>
        <w:gridCol w:w="109"/>
        <w:gridCol w:w="109"/>
        <w:gridCol w:w="109"/>
        <w:gridCol w:w="328"/>
        <w:gridCol w:w="1288"/>
        <w:gridCol w:w="169"/>
        <w:gridCol w:w="109"/>
        <w:gridCol w:w="109"/>
        <w:gridCol w:w="109"/>
        <w:gridCol w:w="293"/>
        <w:gridCol w:w="1150"/>
        <w:gridCol w:w="151"/>
        <w:gridCol w:w="109"/>
        <w:gridCol w:w="109"/>
        <w:gridCol w:w="109"/>
        <w:gridCol w:w="211"/>
        <w:gridCol w:w="826"/>
        <w:gridCol w:w="160"/>
      </w:tblGrid>
      <w:tr>
        <w:trPr/>
        <w:tc>
          <w:tcPr>
            <w:tcW w:w="114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July 4, 2026</w:t>
            </w:r>
          </w:p>
        </w:tc>
      </w:tr>
      <w:tr>
        <w:trPr/>
        <w:tc>
          <w:tcPr>
            <w:tcW w:w="3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 thousands)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266,838 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44.4%</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Segment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703"/>
        <w:gridCol w:w="699"/>
        <w:gridCol w:w="109"/>
        <w:gridCol w:w="109"/>
        <w:gridCol w:w="109"/>
        <w:gridCol w:w="259"/>
        <w:gridCol w:w="757"/>
        <w:gridCol w:w="134"/>
        <w:gridCol w:w="109"/>
        <w:gridCol w:w="109"/>
        <w:gridCol w:w="109"/>
        <w:gridCol w:w="379"/>
        <w:gridCol w:w="1109"/>
        <w:gridCol w:w="196"/>
        <w:gridCol w:w="109"/>
        <w:gridCol w:w="109"/>
        <w:gridCol w:w="109"/>
        <w:gridCol w:w="341"/>
        <w:gridCol w:w="995"/>
        <w:gridCol w:w="176"/>
        <w:gridCol w:w="109"/>
        <w:gridCol w:w="109"/>
        <w:gridCol w:w="109"/>
        <w:gridCol w:w="245"/>
        <w:gridCol w:w="543"/>
        <w:gridCol w:w="128"/>
        <w:gridCol w:w="109"/>
        <w:gridCol w:w="109"/>
        <w:gridCol w:w="109"/>
        <w:gridCol w:w="211"/>
        <w:gridCol w:w="721"/>
        <w:gridCol w:w="160"/>
      </w:tblGrid>
      <w:tr>
        <w:trPr/>
        <w:tc>
          <w:tcPr>
            <w:tcW w:w="81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43"/>
        <w:gridCol w:w="999"/>
        <w:gridCol w:w="998"/>
        <w:gridCol w:w="109"/>
        <w:gridCol w:w="109"/>
        <w:gridCol w:w="109"/>
        <w:gridCol w:w="217"/>
        <w:gridCol w:w="853"/>
        <w:gridCol w:w="111"/>
        <w:gridCol w:w="109"/>
        <w:gridCol w:w="109"/>
        <w:gridCol w:w="109"/>
        <w:gridCol w:w="328"/>
        <w:gridCol w:w="1288"/>
        <w:gridCol w:w="169"/>
        <w:gridCol w:w="109"/>
        <w:gridCol w:w="109"/>
        <w:gridCol w:w="109"/>
        <w:gridCol w:w="293"/>
        <w:gridCol w:w="1150"/>
        <w:gridCol w:w="151"/>
        <w:gridCol w:w="109"/>
        <w:gridCol w:w="109"/>
        <w:gridCol w:w="109"/>
        <w:gridCol w:w="211"/>
        <w:gridCol w:w="826"/>
        <w:gridCol w:w="160"/>
      </w:tblGrid>
      <w:tr>
        <w:trPr/>
        <w:tc>
          <w:tcPr>
            <w:tcW w:w="114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28, 2025</w:t>
            </w:r>
          </w:p>
        </w:tc>
      </w:tr>
      <w:tr>
        <w:trPr/>
        <w:tc>
          <w:tcPr>
            <w:tcW w:w="3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120,628 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46.0%</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Segment Operating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1"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68,726 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4"/>
        <w:gridCol w:w="703"/>
        <w:gridCol w:w="699"/>
        <w:gridCol w:w="109"/>
        <w:gridCol w:w="109"/>
        <w:gridCol w:w="109"/>
        <w:gridCol w:w="259"/>
        <w:gridCol w:w="757"/>
        <w:gridCol w:w="134"/>
        <w:gridCol w:w="109"/>
        <w:gridCol w:w="109"/>
        <w:gridCol w:w="109"/>
        <w:gridCol w:w="379"/>
        <w:gridCol w:w="1109"/>
        <w:gridCol w:w="196"/>
        <w:gridCol w:w="109"/>
        <w:gridCol w:w="109"/>
        <w:gridCol w:w="109"/>
        <w:gridCol w:w="341"/>
        <w:gridCol w:w="995"/>
        <w:gridCol w:w="176"/>
        <w:gridCol w:w="109"/>
        <w:gridCol w:w="109"/>
        <w:gridCol w:w="109"/>
        <w:gridCol w:w="283"/>
        <w:gridCol w:w="485"/>
        <w:gridCol w:w="148"/>
        <w:gridCol w:w="109"/>
        <w:gridCol w:w="109"/>
        <w:gridCol w:w="109"/>
        <w:gridCol w:w="211"/>
        <w:gridCol w:w="721"/>
        <w:gridCol w:w="160"/>
      </w:tblGrid>
      <w:tr>
        <w:trPr/>
        <w:tc>
          <w:tcPr>
            <w:tcW w:w="81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151" w:type="dxa"/>
        <w:jc w:val="left"/>
        <w:tblInd w:w="0" w:type="dxa"/>
        <w:tblLayout w:type="fixed"/>
        <w:tblCellMar>
          <w:top w:w="28" w:type="dxa"/>
          <w:left w:w="28" w:type="dxa"/>
          <w:bottom w:w="28" w:type="dxa"/>
          <w:right w:w="28" w:type="dxa"/>
        </w:tblCellMar>
      </w:tblPr>
      <w:tblGrid>
        <w:gridCol w:w="675"/>
        <w:gridCol w:w="592"/>
        <w:gridCol w:w="593"/>
        <w:gridCol w:w="109"/>
        <w:gridCol w:w="109"/>
        <w:gridCol w:w="109"/>
        <w:gridCol w:w="211"/>
        <w:gridCol w:w="976"/>
        <w:gridCol w:w="109"/>
        <w:gridCol w:w="109"/>
        <w:gridCol w:w="109"/>
        <w:gridCol w:w="109"/>
        <w:gridCol w:w="211"/>
        <w:gridCol w:w="976"/>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w:t>
              <w:br/>
              <w:t>2026</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Industrial Processing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Material Handling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(a)Primarily consists of general and administrative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Company does not allocate interest expense, net and other expense, net to its segments.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(c)Depreciation expense by reportable segment is included within cost of revenue and selling, general and administrative, and research and development expenses.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(d)Includes $5,842,000 for the purchase of a manufacturing facility in the Flow Control segment that was previously leased by the Company.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(e)Excludes intercompany receivables or payables and investment in subsidiary balances as the CODM uses total assets excluding these amounts as the measurement for the Company's segment assets.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(f)Corporate assets primarily consist of cash and cash equivalents, tax assets, right-of-use assets, and property, plant, and equipment, net.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Right of Recourse</w:t>
      </w:r>
    </w:p>
    <w:p>
      <w:pPr>
        <w:pStyle w:val="TextBody"/>
        <w:bidi w:val="0"/>
        <w:spacing w:lineRule="auto" w:line="288" w:before="100" w:after="283"/>
        <w:ind w:left="0" w:right="0" w:firstLine="765"/>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Company's Chinese subsidiaries may receive banker's acceptance drafts from customers as payment for their trade accounts receivable. The drafts are non-interest bearing obligations of the issuing bank and generally mature within six months of the origination date. The Company's Chinese subsidiaries may use these banker's acceptance drafts prior to the scheduled maturity date to settle outstanding accounts payable with vendors. Banker's acceptance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drafts transferred to vendors are subject to customary right of recourse provisions prior to their scheduled maturity dates. The Company had $11,974,000 at July 4, 2026 and $9,556,000 at January 3, 2026 of banker's acceptance drafts subject to recourse, which were transferred to vendors and had not reached their scheduled maturity dates. Historically, the banker's acceptance drafts have settled upon maturity without any claim of recourse against the Company.</w:t>
      </w:r>
    </w:p>
    <w:p>
      <w:pPr>
        <w:pStyle w:val="TextBody"/>
        <w:bidi w:val="0"/>
        <w:spacing w:before="0" w:after="0"/>
        <w:ind w:left="0" w:right="0" w:firstLine="76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various claims and legal proceedings covering a range of matters that arise in the ordinary course of business. Such litigation may include, but is not limited to, claims and counterclaims by and against the Company for breach of contract or warranty, canceled contracts, product liability, or bankruptcy-related claims. For legal proceedings in which a loss is probable and estimable, the Company accrues a loss based on the low end of the range of estimated loss when there is no better estimate within the range. If the Company were found to be liable for any of the claims or counterclaims against it, the Company would incur a charge against earnings for amounts in excess of legal accruals.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 – Management's Discussion and Analysis of Financial Condition and Results of Operations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we use the terms "we," "us," "our," and the "Company," we mean Kadant Inc., a Delaware corporation, and its consolidated subsidiaries, taken as a whole, unless the context otherwise indicates.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and the documents we incorporate by reference in this report include forward-looking statements within the meaning of Section 21E of the Securities Exchange Act of 1934, as amended (Exchange Act), and Section 27A of the Securities Act of 1933, as amended. These forward-looking statements are not statements of historical fact and may include statements regarding possible or assumed future results of operations. Forward-looking statements are subject to risks and uncertainties and are based on the beliefs and assumptions of our management, using information currently available to our management. When we use words such as "believes," "expects," "anticipates," "intends," "plans," "estimates," "seeks," "should," "likely," "will," "would," "may," "continue," "could," or similar expressions, we are making forward-looking statements.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Forward-looking statements are not guarantees of performance. They involve risks, uncertainties, and assumptions. Our future results of operations may differ materially from those expressed in the forward-looking statements. Many of the important factors that will determine these results are beyond our ability to control or predict. You should not put undue reliance on any forward-looking statements. We undertake no obligation to publicly update any forward-looking statement, whether as a result of new information, future events, or otherwise. For a discussion of important factors that may cause our actual results to differ materially from those suggested by the forward-looking statements, you should read carefully the section captioned </w:t>
      </w:r>
      <w:r>
        <w:rPr>
          <w:rFonts w:ascii="Times New Roman;serif" w:hAnsi="Times New Roman;serif"/>
          <w:b w:val="false"/>
          <w:i/>
          <w:color w:val="000000"/>
          <w:sz w:val="20"/>
        </w:rPr>
        <w:t>Risk Factors</w:t>
      </w:r>
      <w:r>
        <w:rPr>
          <w:rFonts w:ascii="Times New Roman;serif" w:hAnsi="Times New Roman;serif"/>
          <w:b w:val="false"/>
          <w:color w:val="000000"/>
          <w:sz w:val="20"/>
        </w:rPr>
        <w:t xml:space="preserve">, included in Part I, Item 1A, of our Annual Report on Form 10-K for the fiscal year ended January 3, 2026 (Annual Report), as further amended in Part II, </w:t>
      </w:r>
      <w:hyperlink w:anchor="i92d0b1c0abeb47668f3051b0d92b1a64_121">
        <w:r>
          <w:rPr>
            <w:rStyle w:val="InternetLink"/>
            <w:rFonts w:ascii="Times New Roman;serif" w:hAnsi="Times New Roman;serif"/>
            <w:b w:val="false"/>
            <w:color w:val="0000FF"/>
            <w:sz w:val="20"/>
            <w:u w:val="single"/>
          </w:rPr>
          <w:t>Item 1A</w:t>
        </w:r>
      </w:hyperlink>
      <w:r>
        <w:rPr>
          <w:rFonts w:ascii="Times New Roman;serif" w:hAnsi="Times New Roman;serif"/>
          <w:b w:val="false"/>
          <w:color w:val="000000"/>
          <w:sz w:val="20"/>
        </w:rPr>
        <w:t>, within this report, and as may be further amended and/or restated in subsequent filings with the SEC.</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Company Background</w:t>
      </w:r>
    </w:p>
    <w:p>
      <w:pPr>
        <w:pStyle w:val="TextBody"/>
        <w:bidi w:val="0"/>
        <w:spacing w:lineRule="auto" w:line="288" w:before="100" w:after="283"/>
        <w:ind w:left="0" w:right="0" w:firstLine="720"/>
        <w:jc w:val="left"/>
        <w:rPr/>
      </w:pPr>
      <w:r>
        <w:rPr>
          <w:rFonts w:ascii="Times New Roman;serif" w:hAnsi="Times New Roman;serif"/>
          <w:b w:val="false"/>
          <w:color w:val="000000"/>
          <w:sz w:val="20"/>
        </w:rPr>
        <w:t>We are a global supplier of technologies and engineered systems that drive Sustainable Industrial Processing</w:t>
      </w:r>
      <w:r>
        <w:rPr>
          <w:rFonts w:ascii="Times New Roman;serif" w:hAnsi="Times New Roman;serif"/>
          <w:b w:val="false"/>
          <w:color w:val="000000"/>
          <w:sz w:val="13"/>
        </w:rPr>
        <w:t>®</w:t>
      </w:r>
      <w:r>
        <w:rPr>
          <w:rFonts w:ascii="Times New Roman;serif" w:hAnsi="Times New Roman;serif"/>
          <w:b w:val="false"/>
          <w:color w:val="000000"/>
          <w:sz w:val="20"/>
        </w:rPr>
        <w:t>. Our products and services play an integral role in enhancing efficiency, optimizing energy utilization, and maximizing productivity in process industries while helping our customers advance their sustainability initiatives with products that reduce waste or generate more yield with fewer inputs, particularly fiber, energy, and water. Producing more while consuming less is a core aspect of Sustainable Industrial Processing and a major element of the strategic focus of our business.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results are presented in three reportable segments consisting of our Flow Control segment, Industrial Processing segment, and Material Handling segment. A description of each reportable segment is as follows: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i/>
          <w:color w:val="000000"/>
          <w:sz w:val="20"/>
        </w:rPr>
        <w:t>Flow Control</w:t>
      </w:r>
      <w:r>
        <w:rPr>
          <w:color w:val="000000"/>
        </w:rPr>
        <w:t xml:space="preserve"> – </w:t>
      </w:r>
      <w:r>
        <w:rPr>
          <w:rFonts w:ascii="Times New Roman;serif" w:hAnsi="Times New Roman;serif"/>
          <w:b w:val="false"/>
          <w:color w:val="000000"/>
          <w:sz w:val="20"/>
        </w:rPr>
        <w:t xml:space="preserve">Custom-engineered products, systems, and technologies that control the flow of fluids used in industrial and commercial applications to keep critical processes running efficiently in the packaging, paper and tissue, food, energy, defense, and numerous other industrial sectors. Our primary products include rotary sealing devices, steam systems, expansion joints, doctor systems, roll and fabric cleaning devices, and filtration and fiber recovery systems. </w:t>
      </w:r>
    </w:p>
    <w:p>
      <w:pPr>
        <w:pStyle w:val="TextBody"/>
        <w:bidi w:val="0"/>
        <w:spacing w:lineRule="auto" w:line="288" w:before="100" w:after="100"/>
        <w:ind w:left="0" w:right="0" w:hanging="360"/>
        <w:jc w:val="left"/>
        <w:rPr/>
      </w:pPr>
      <w:r>
        <w:rPr>
          <w:color w:val="000000"/>
        </w:rPr>
        <w:t>•</w:t>
      </w:r>
      <w:r>
        <w:rPr>
          <w:rFonts w:ascii="Times New Roman;serif" w:hAnsi="Times New Roman;serif"/>
          <w:b w:val="false"/>
          <w:i/>
          <w:color w:val="000000"/>
          <w:sz w:val="20"/>
        </w:rPr>
        <w:t>Industrial Processing</w:t>
      </w:r>
      <w:r>
        <w:rPr>
          <w:color w:val="000000"/>
        </w:rPr>
        <w:t xml:space="preserve"> – </w:t>
      </w:r>
      <w:r>
        <w:rPr>
          <w:rFonts w:ascii="Times New Roman;serif" w:hAnsi="Times New Roman;serif"/>
          <w:b w:val="false"/>
          <w:color w:val="000000"/>
          <w:sz w:val="20"/>
        </w:rPr>
        <w:t>Equipment, machinery, and technologies used to recycle paper and paperboard, process timber, and optimize industrial steam boiler efficiency in the packaging, paper, tissue, wood products, and food processing industries, among others. Our primary products include fiber processing systems and recycling equipment, chemical pulping equipment, debarkers, stranders, chippers, custom-engineered profiles and industrial blades, boiler cleaning technologies, and continuous dewatering equipment.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Material Handling</w:t>
      </w:r>
      <w:r>
        <w:rPr>
          <w:color w:val="000000"/>
        </w:rPr>
        <w:t xml:space="preserve"> – </w:t>
      </w:r>
      <w:r>
        <w:rPr>
          <w:rFonts w:ascii="Times New Roman;serif" w:hAnsi="Times New Roman;serif"/>
          <w:b w:val="false"/>
          <w:color w:val="000000"/>
          <w:sz w:val="20"/>
        </w:rPr>
        <w:t>Products and engineered systems used to handle bulk and discrete materials for secondary processing or transport in the aggregates, mining, food, and waste management industries, among others. Our primary products include conveying and vibratory equipment and balers. In addition, we manufacture and sell biodegradable, absorbent granules used as carriers in agricultural, home lawn and garden, professional lawn, turf and ornamental applications, and for oil and grease absorption.</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See </w:t>
      </w:r>
      <w:hyperlink w:anchor="i92d0b1c0abeb47668f3051b0d92b1a64_85">
        <w:r>
          <w:rPr>
            <w:rStyle w:val="InternetLink"/>
            <w:rFonts w:ascii="Times New Roman;serif" w:hAnsi="Times New Roman;serif"/>
            <w:b w:val="false"/>
            <w:color w:val="0000FF"/>
            <w:sz w:val="20"/>
            <w:u w:val="single"/>
          </w:rPr>
          <w:t>Note 9</w:t>
        </w:r>
      </w:hyperlink>
      <w:r>
        <w:rPr>
          <w:rFonts w:ascii="Times New Roman;serif" w:hAnsi="Times New Roman;serif"/>
          <w:b w:val="false"/>
          <w:color w:val="000000"/>
          <w:sz w:val="20"/>
        </w:rPr>
        <w:t xml:space="preserve">, Business Segment Information, in the accompanying condensed consolidated financial statements for financial information on our reportable segments.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Industry and Business Overview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bookings increased 16% to $312 million in the second quarter of 2026 compared to the second quarter of 2025, led by contributions from our recent acquisitions, and record demand for our parts and consumables products at our Industrial Processing segment. Our large installed base throughout the world continues to generate a stable stream of recurring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from aftermarket parts, maintenance upgrades, and related service requirements. Parts and consumables product bookings increased 25% compared to the second quarter of 2025 and represented 72% of consolidated bookings. Capital equipment product bookings decreased 3% compared to the second quarter of 2025. While customer requests and quotation activity remain healthy across all our segments, the timing for securing large capital equipment project orders remains uncertain. The volatility in trade policies, inflation, and geopolitical conflicts have led to pressure on input costs. As a result, customers remain cautious in approving large capital projects pending greater clarity regarding input costs and broader economic conditions. This has led to longer customer approval cycles and increased volatility in the timing of capital project orders. This dynamic is more pronounced in our Industrial Processing segment, where average capital order values are significantly higher than in our other segments. Based on the current level of quote activity, we anticipate stronger capital bookings in the second half of 2026 compared to the first half.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Overall, we expect bookings in 2026 to exceed 2025 levels, largely driven by our Industrial Processing segment and incremental contributions from our recent acquisitions. We continue to see long-term strength in our end markets as customers rely on our products to enhance productivity through more efficient production processes. Additionally, we anticipate growth opportunities related to industrial automation and modernization investments as well as in the energy and defense sectors.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overview of our business by reportable segment is as follows: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Flow Control</w:t>
      </w:r>
      <w:r>
        <w:rPr>
          <w:color w:val="000000"/>
        </w:rPr>
        <w:t xml:space="preserve"> – </w:t>
      </w:r>
      <w:r>
        <w:rPr>
          <w:rFonts w:ascii="Times New Roman;serif" w:hAnsi="Times New Roman;serif"/>
          <w:b w:val="false"/>
          <w:color w:val="000000"/>
          <w:sz w:val="20"/>
        </w:rPr>
        <w:t>Our Flow Control segment bookings increased 11% compared to the second quarter of 2025, reflecting strong demand for our parts and consumables products across all regions. Stronger demand in North America, fueled by factory automation projects, was tempered by weaker demand in Europe, which was negatively impacted by mill closures and low factory utilization rates. Demand for our capital equipment products was limited as customers remained cautious regarding their capital spending decisions amid market uncertainty. We expect consistent demand for the remainder of 2026 and long-term strength in this segment due to its diversified market exposure.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Industrial Processing</w:t>
      </w:r>
      <w:r>
        <w:rPr>
          <w:color w:val="000000"/>
        </w:rPr>
        <w:t xml:space="preserve"> – </w:t>
      </w:r>
      <w:r>
        <w:rPr>
          <w:rFonts w:ascii="Times New Roman;serif" w:hAnsi="Times New Roman;serif"/>
          <w:b w:val="false"/>
          <w:color w:val="000000"/>
          <w:sz w:val="20"/>
        </w:rPr>
        <w:t>Our Industrial Processing segment bookings increased 29% compared to the second quarter of 2025, as recent acquisitions drove record aftermarket parts bookings in the quarter. Demand for our capital equipment products was negatively impacted by the volatility in timing of capital project orders. Quotation activity remains high and project discussions continue across most regions, however, customers continue to defer larger capital investments. Overall, we expect demand for our capital equipment products to strengthen in the second half of 2026, supported by the anticipated receipt of several large capital orders currently in the pipeline. In addition, we expect demand for our aftermarket parts to remain stable in 2026.</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i/>
          <w:color w:val="000000"/>
          <w:sz w:val="20"/>
        </w:rPr>
        <w:t>Material Handling</w:t>
      </w:r>
      <w:r>
        <w:rPr>
          <w:color w:val="000000"/>
        </w:rPr>
        <w:t xml:space="preserve"> – </w:t>
      </w:r>
      <w:r>
        <w:rPr>
          <w:rFonts w:ascii="Times New Roman;serif" w:hAnsi="Times New Roman;serif"/>
          <w:b w:val="false"/>
          <w:color w:val="000000"/>
          <w:sz w:val="20"/>
        </w:rPr>
        <w:t xml:space="preserve">Our Material Handling segment bookings increased 3% compared to the second quarter of 2025, reflecting stable demand as customers balance challenging macroeconomic conditions. In this environment, customers are prioritizing maintenance spending and smaller incremental investments over large expansion projects. We expect modest growth in demand for our products in this segment to continue for the remainder of 2026. </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Our global operations have been and continue to be impacted by complex market conditions fueled by volatile trade policies, inflationary pressures, and geopolitical tensions. We expect our operating environment to continue to be challenging, especially for large capital equipment projects where the order timing is uncertain. However, we believe that the fundamentals of our business remain strong, supported by our solid market position in key product lines, experienced global operations teams, and long-term strength of our end markets. For more information related to these challenges, and other factors impacting our business, please see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 xml:space="preserve">included in Part I, Item 1A, of our Annual Report, as further amended in Part II, </w:t>
      </w:r>
      <w:hyperlink w:anchor="i92d0b1c0abeb47668f3051b0d92b1a64_121">
        <w:r>
          <w:rPr>
            <w:rStyle w:val="InternetLink"/>
            <w:rFonts w:ascii="Times New Roman;serif" w:hAnsi="Times New Roman;serif"/>
            <w:b w:val="false"/>
            <w:color w:val="0000FF"/>
            <w:sz w:val="20"/>
            <w:u w:val="single"/>
          </w:rPr>
          <w:t>Item 1A</w:t>
        </w:r>
      </w:hyperlink>
      <w:r>
        <w:rPr>
          <w:rFonts w:ascii="Times New Roman;serif" w:hAnsi="Times New Roman;serif"/>
          <w:b w:val="false"/>
          <w:color w:val="000000"/>
          <w:sz w:val="20"/>
        </w:rPr>
        <w:t>, within this report, and as may be further amended and/or restated in subsequent filings with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International Sales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Approximately half of our sales are to customers outside the United States, mainly in Europe, Asia, and Canada. As a result, our financial performance can be materially affected by currency exchange rate fluctuations between the U.S. dollar and foreign currencies. To mitigate the impact of foreign currency transaction fluctuations, we generally seek to charge our customers in the same currency in which our operating costs are incurred. Additionally, we may enter into forward currency exchange contracts to hedge certain firm purchase and sale commitments denominated in currencies other than our subsidiaries' functional currencies. We currently do not use derivative instruments to hedge our exposure to exchange rate fluctuations created by the translation into the U.S. dollar of our foreign subsidiaries' results that are in functional currencies other than the U.S. dollar.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Global Trade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United States has imposed tariffs in the past and more recently proposed and implemented new tariffs on certain imports, which have and will continue to increase the cost of some of the parts and equipment we import. In addition,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283"/>
        <w:jc w:val="left"/>
        <w:rPr/>
      </w:pPr>
      <w:r>
        <w:rPr>
          <w:rFonts w:ascii="Times New Roman;serif" w:hAnsi="Times New Roman;serif"/>
          <w:b w:val="false"/>
          <w:color w:val="000000"/>
          <w:sz w:val="20"/>
        </w:rPr>
        <w:t xml:space="preserve">countries have implemented and may in the future implement additional retaliatory tariffs in response to these actions by the United States, which have negatively impacted and may in the future negatively impact our operations. Although we are working to mitigate the impact of tariffs through pricing and sourcing strategies, we cannot be sure these strategies will effectively mitigate the impact of these costs. For more information on risks associated with our global operations, including tariffs, please see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 xml:space="preserve">included in Part I, Item 1A, of our Annual Report, as further amended in Part II, </w:t>
      </w:r>
      <w:hyperlink w:anchor="i92d0b1c0abeb47668f3051b0d92b1a64_121">
        <w:r>
          <w:rPr>
            <w:rStyle w:val="InternetLink"/>
            <w:rFonts w:ascii="Times New Roman;serif" w:hAnsi="Times New Roman;serif"/>
            <w:b w:val="false"/>
            <w:color w:val="0000FF"/>
            <w:sz w:val="20"/>
            <w:u w:val="single"/>
          </w:rPr>
          <w:t>Item 1A</w:t>
        </w:r>
      </w:hyperlink>
      <w:r>
        <w:rPr>
          <w:rFonts w:ascii="Times New Roman;serif" w:hAnsi="Times New Roman;serif"/>
          <w:b w:val="false"/>
          <w:color w:val="000000"/>
          <w:sz w:val="20"/>
        </w:rPr>
        <w:t xml:space="preserve">, within this report, and as may be further amended and/or restated in subsequent filings with the SEC.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a significant driver of our long-term growth will be through the acquisition of businesses and technologies that complement or augment our existing products and services or may involve entry into a new process industry. We have acquired several businesses in recent years and continue to pursue acquisition opportunities.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April 30, 2026, we completed the acquisition of voestalpine BÖHLER Profil GmbH &amp; Co KG and voestalpine BÖHLER Profil VerwaltungsGmbH for a net purchase price of $170.1 million. Upon closing, the acquired entities were renamed Kadant Profil GmbH &amp; Co KG and Kadant Profil Verwaltungs GmbH (collectively, Kadant Profil). Kadant Profil is a manufacturer of customized rolled profiles and industrial knife solutions for demanding industrial applications and is part of our Industrial Processing segment. See </w:t>
      </w:r>
      <w:hyperlink w:anchor="i92d0b1c0abeb47668f3051b0d92b1a64_55">
        <w:r>
          <w:rPr>
            <w:rStyle w:val="InternetLink"/>
            <w:rFonts w:ascii="Times New Roman;serif" w:hAnsi="Times New Roman;serif"/>
            <w:b w:val="false"/>
            <w:color w:val="0000FF"/>
            <w:sz w:val="20"/>
            <w:u w:val="single"/>
          </w:rPr>
          <w:t>Note 2</w:t>
        </w:r>
      </w:hyperlink>
      <w:r>
        <w:rPr>
          <w:rFonts w:ascii="Times New Roman;serif" w:hAnsi="Times New Roman;serif"/>
          <w:b w:val="false"/>
          <w:color w:val="000000"/>
          <w:sz w:val="20"/>
        </w:rPr>
        <w:t>, Acquisitions, in the accompanying condensed consolidated financial statements for further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 2026 Compared with Second Quarter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revenue by segment between the second quarters of 2026 and 2025, and those changes excluding the effect of acquisitions and foreign currency translation which we refer to as change in organic revenue. Organic revenue excludes the effect of acquisitions for the four quarterly reporting periods following the date of the acquisition. The presentation of the change in organic revenue is a non-GAAP measure. We believe this non-GAAP measure helps investors gain an understanding of our underlying operations consistent with how management measures and forecasts its performance, especially when comparing such results to prior periods. This non-GAAP measure should not be considered superior to or a substitute for the corresponding U.S. generally accepted accounting principles (GAAP) measure.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reportable segment in the second quarters of 2026 and 2025 is as follows:</w:t>
      </w:r>
    </w:p>
    <w:tbl>
      <w:tblPr>
        <w:tblW w:w="12320" w:type="dxa"/>
        <w:jc w:val="left"/>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09"/>
        <w:gridCol w:w="231"/>
        <w:gridCol w:w="790"/>
        <w:gridCol w:w="120"/>
        <w:gridCol w:w="109"/>
        <w:gridCol w:w="109"/>
        <w:gridCol w:w="109"/>
        <w:gridCol w:w="233"/>
        <w:gridCol w:w="681"/>
        <w:gridCol w:w="122"/>
        <w:gridCol w:w="109"/>
        <w:gridCol w:w="109"/>
        <w:gridCol w:w="109"/>
        <w:gridCol w:w="211"/>
        <w:gridCol w:w="721"/>
        <w:gridCol w:w="109"/>
        <w:gridCol w:w="109"/>
        <w:gridCol w:w="109"/>
        <w:gridCol w:w="109"/>
        <w:gridCol w:w="290"/>
        <w:gridCol w:w="290"/>
        <w:gridCol w:w="411"/>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i/>
                <w:color w:val="000000"/>
                <w:sz w:val="19"/>
              </w:rPr>
              <w:t>(Non-GAAP)</w:t>
            </w:r>
            <w:r>
              <w:rPr>
                <w:color w:val="000000"/>
              </w:rPr>
              <w:t xml:space="preserve">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Change in Organic Revenue</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revenue increased 23% in the second quarter of 2026, including a 13% increase from acquisitions. Organic revenue increased 8%, including a 23% increase in sales of capital equipment products led by our Industrial Processing segment, and steady demand for our parts and consumables products.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at our Flow Control segment increased 5% in the second quarter of 2026, primarily driven by higher demand for our parts and consumables products, especially in North America and Asia. In addition, capital equipment product revenue increased in China due to the completion of several large projects.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at our Industrial Processing segment increased 50% in the second quarter of 2026, primarily due to contributions from our recent acquisitions and the favorable effect of foreign currency translation. Organic revenue increased 13%, reflecting a higher volume of capital projects in the quarter compared to the prior-year period. Organic revenue from capital equipment products was strongest in North America, while Europe was comparatively weaker due to constrained market conditions, which have impacted input costs and continued to influence our customers’ decision-making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at our Material Handling segment increased 8% in the second quarter of 2026, reflecting strong demand for both capital equipment and aftermarket parts products. The increase was primarily driven by our business in Europe, which benefited from a large refurbishment project during the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margin by reportable segment in the second quarters of 2026 and 2025 is as follows:</w:t>
      </w:r>
    </w:p>
    <w:tbl>
      <w:tblPr>
        <w:tblW w:w="6234"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5"/>
        <w:gridCol w:w="215"/>
        <w:gridCol w:w="215"/>
        <w:gridCol w:w="201"/>
        <w:gridCol w:w="201"/>
        <w:gridCol w:w="201"/>
        <w:gridCol w:w="260"/>
        <w:gridCol w:w="260"/>
        <w:gridCol w:w="260"/>
        <w:gridCol w:w="109"/>
        <w:gridCol w:w="109"/>
        <w:gridCol w:w="109"/>
        <w:gridCol w:w="269"/>
        <w:gridCol w:w="269"/>
        <w:gridCol w:w="269"/>
        <w:gridCol w:w="269"/>
        <w:gridCol w:w="269"/>
        <w:gridCol w:w="392"/>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Basis Point Change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gross profit margin decreased to 43.8% in the second quarter of 2026 from 45.9% in the second quarter of 2025 due to several factors. The proportion of higher-margin aftermarket parts revenue decreased to 68% in 2026 compared to 71% in 2025. In addition, our gross profit margins for both aftermarket parts and capital equipment products were adversely affected by the product mix within these categories. Gross profit margin in our Industrial Processing segment was negatively affected by the lower gross margin profile associated with recent acquisitions.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Within our reportable segments, gross profit margin:</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 xml:space="preserve">Decreased to 52.5% at our Flow Control segment from 53.8% in the 2025 period primarily due to lower margins achieved on our parts and consumables products and an unfavorable mix of capital equipment projects in the period.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Decreased to 40.7% at our Industrial Processing segment from 42.6% in the 2025 period due to the lower gross margin profile associated with recent acquisitions. In addition, gross profit margin was negatively impacted by a decrease in the proportion of higher-margin parts and consumables product revenue, which decreased to 69% of revenue in the second quarter of 2026 compared to 76% in the 2025 period, and lower margins achieved on our aftermarket parts products.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Decreased to 37.6% at our Material Handling segment from 38.7% in the 2025 period due to lower margins achieved on our capital equipment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Expenses</w:t>
      </w:r>
    </w:p>
    <w:p>
      <w:pPr>
        <w:pStyle w:val="TextBody"/>
        <w:bidi w:val="0"/>
        <w:spacing w:lineRule="auto" w:line="288" w:before="100" w:after="283"/>
        <w:ind w:left="0" w:right="0" w:firstLine="720"/>
        <w:jc w:val="left"/>
        <w:rPr/>
      </w:pPr>
      <w:r>
        <w:rPr>
          <w:rFonts w:ascii="Times New Roman;serif" w:hAnsi="Times New Roman;serif"/>
          <w:b w:val="false"/>
          <w:color w:val="000000"/>
          <w:sz w:val="20"/>
          <w:shd w:fill="FFFFFF" w:val="clear"/>
        </w:rPr>
        <w:t>Selling, general, and administrative (SG&amp;A) expenses by reportable segm</w:t>
      </w:r>
      <w:r>
        <w:rPr>
          <w:rFonts w:ascii="Times New Roman;serif" w:hAnsi="Times New Roman;serif"/>
          <w:b w:val="false"/>
          <w:color w:val="000000"/>
          <w:sz w:val="20"/>
        </w:rPr>
        <w:t>ent and Corp</w:t>
      </w:r>
      <w:r>
        <w:rPr>
          <w:rFonts w:ascii="Times New Roman;serif" w:hAnsi="Times New Roman;serif"/>
          <w:b w:val="false"/>
          <w:color w:val="000000"/>
          <w:sz w:val="20"/>
          <w:shd w:fill="FFFFFF" w:val="clear"/>
        </w:rPr>
        <w:t>orate in the second quarters of 2026 and 2025 are as follows:</w:t>
      </w:r>
    </w:p>
    <w:tbl>
      <w:tblPr>
        <w:tblW w:w="8782" w:type="dxa"/>
        <w:jc w:val="left"/>
        <w:tblInd w:w="0" w:type="dxa"/>
        <w:tblLayout w:type="fixed"/>
        <w:tblCellMar>
          <w:top w:w="28" w:type="dxa"/>
          <w:left w:w="28" w:type="dxa"/>
          <w:bottom w:w="28" w:type="dxa"/>
          <w:right w:w="28" w:type="dxa"/>
        </w:tblCellMar>
      </w:tblPr>
      <w:tblGrid>
        <w:gridCol w:w="1254"/>
        <w:gridCol w:w="1102"/>
        <w:gridCol w:w="1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90"/>
        <w:gridCol w:w="290"/>
        <w:gridCol w:w="411"/>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SG&amp;A expenses increased $7.7 million, or 10%, in the second quarter of 2026 compared to the second quarter of 2025, primarily due to the inclusion of $7.9 million of SG&amp;A expenses from recent acquisitions.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Within our reportable segments and Corporate, SG&amp;A expenses: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$0.4 million at our Flow Control segment primarily due to a net unfavorable impact from foreign currency transaction and translation.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$5.4 million at our Industrial Processing segment primarily due to $7.9 million of SG&amp;A expenses from acquisitions, offset in part by a $1.4 million shift from foreign currency losses in the 2025 period to gains in the 2026 period and a $0.5 million decrease in bad debt expense.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$0.4 million at our Material Handling segment primarily due to a $0.2 million unfavorable impact from foreign currency translation and incremental selling-related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$1.5 million at Corporate due to a benefit received in 2025 related to an intellectual property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to $5.3 million in the second quarter of 2026 from $3.3 million in the second quarter of 2025 due to increased borrowings under our revolving credit facility, which were primarily used to fund our acquisitions during the second half of 2025 and first half of 2026, partially offset by a lower weighted-average interest 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increased to $13.2 million in the second quarter of 2026 from $9.8 million in the second quarter of 2025.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of 28.6% in the second quarter of 2026 was higher than our statutory rate of 21%, primarily due to the distribution of our worldwide earnings, state taxes, and nondeductible expenses.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of 26.9% in the second quarter of 2025 was higher than our statutory rate of 21% primarily due to the distribution of our worldwide earnings, state taxes, nondeductible expenses, and the cost of repatriating the earnings of certain foreign subsidiaries. These items were offset in part by foreign tax credits.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increased to $32.8 million in the second quarter of 2026 from $26.6 million in the second quarter of 2025 primarily due to a $11.5 million increase in operating income, offset in part by a $2.0 million increase in interest expense and a $3.4 million increase in provision for income taxes (see discussions above for further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First Six Months 2026 Compared with First Six Months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revenue and organic revenue by segment between the first six months of 2026 and 2025. Organic revenue is a non-GAAP measure as defined above in the results of operations for the second quarter of 2026 compared with the second quarter of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segment in the first six months of 2026 and 2025 is as follows:</w:t>
      </w:r>
    </w:p>
    <w:tbl>
      <w:tblPr>
        <w:tblW w:w="12325" w:type="dxa"/>
        <w:jc w:val="center"/>
        <w:tblInd w:w="0" w:type="dxa"/>
        <w:tblLayout w:type="fixed"/>
        <w:tblCellMar>
          <w:top w:w="28" w:type="dxa"/>
          <w:left w:w="28" w:type="dxa"/>
          <w:bottom w:w="28" w:type="dxa"/>
          <w:right w:w="28" w:type="dxa"/>
        </w:tblCellMar>
      </w:tblPr>
      <w:tblGrid>
        <w:gridCol w:w="622"/>
        <w:gridCol w:w="296"/>
        <w:gridCol w:w="29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09"/>
        <w:gridCol w:w="231"/>
        <w:gridCol w:w="790"/>
        <w:gridCol w:w="120"/>
        <w:gridCol w:w="109"/>
        <w:gridCol w:w="109"/>
        <w:gridCol w:w="109"/>
        <w:gridCol w:w="211"/>
        <w:gridCol w:w="721"/>
        <w:gridCol w:w="109"/>
        <w:gridCol w:w="109"/>
        <w:gridCol w:w="109"/>
        <w:gridCol w:w="109"/>
        <w:gridCol w:w="211"/>
        <w:gridCol w:w="721"/>
        <w:gridCol w:w="109"/>
        <w:gridCol w:w="109"/>
        <w:gridCol w:w="109"/>
        <w:gridCol w:w="109"/>
        <w:gridCol w:w="290"/>
        <w:gridCol w:w="290"/>
        <w:gridCol w:w="411"/>
      </w:tblGrid>
      <w:tr>
        <w:trPr/>
        <w:tc>
          <w:tcPr>
            <w:tcW w:w="62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9"/>
              </w:rPr>
            </w:pPr>
            <w:r>
              <w:rPr>
                <w:rFonts w:ascii="Times New Roman;serif" w:hAnsi="Times New Roman;serif"/>
                <w:b w:val="false"/>
                <w:i/>
                <w:color w:val="000000"/>
                <w:sz w:val="19"/>
              </w:rPr>
              <w:t>(Non-GAAP)</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Change in Organic Revenue</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b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9"/>
              </w:rPr>
              <w:t>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revenue increased 20% in the first six months of 2026, including a 14% increase from acquisitions. Organic revenue increased 4%, primarily due to higher demand for our capital equipment products compared to the first six months of 2025, and steady demand for our parts and consumables products. Geographically, the economic effects of the conflicts in the Middle East contributed to weaker organic performance in Europe.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at our Flow Control segment increased 6% and organic revenue increased 2% in the first six months of 2026, primarily driven by higher demand for parts and consumables products across all regions, except Europe. Ongoing geopolitical tensions, energy price volatility, and macroeconomic uncertainty have contributed to more cautious spending in Europe. Increased capital equipment product revenue in China due to the completion of several large projects was more than offset by weaker capital equipment demand in other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at our Industrial Processing segment increased 44% in the first six months of 2026, primarily due to our recent acquisitions and the favorable effect of foreign currency translation. Organic revenue increased 5%, reflecting higher demand for our capital equipment products, partially offset by lower demand for our parts and consumables products.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at our Material Handling segment increased 7% in the first six months of 2026, driven by strong demand for both aftermarket and capital equipment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Margin</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margin by segment in the first six months of 2026 and 2025 is as follows:</w:t>
      </w:r>
    </w:p>
    <w:tbl>
      <w:tblPr>
        <w:tblW w:w="6171" w:type="dxa"/>
        <w:jc w:val="left"/>
        <w:tblInd w:w="0" w:type="dxa"/>
        <w:tblLayout w:type="fixed"/>
        <w:tblCellMar>
          <w:top w:w="28" w:type="dxa"/>
          <w:left w:w="28" w:type="dxa"/>
          <w:bottom w:w="28" w:type="dxa"/>
          <w:right w:w="28" w:type="dxa"/>
        </w:tblCellMar>
      </w:tblPr>
      <w:tblGrid>
        <w:gridCol w:w="657"/>
        <w:gridCol w:w="578"/>
        <w:gridCol w:w="580"/>
        <w:gridCol w:w="109"/>
        <w:gridCol w:w="109"/>
        <w:gridCol w:w="109"/>
        <w:gridCol w:w="215"/>
        <w:gridCol w:w="215"/>
        <w:gridCol w:w="215"/>
        <w:gridCol w:w="180"/>
        <w:gridCol w:w="180"/>
        <w:gridCol w:w="180"/>
        <w:gridCol w:w="260"/>
        <w:gridCol w:w="260"/>
        <w:gridCol w:w="260"/>
        <w:gridCol w:w="109"/>
        <w:gridCol w:w="109"/>
        <w:gridCol w:w="109"/>
        <w:gridCol w:w="269"/>
        <w:gridCol w:w="269"/>
        <w:gridCol w:w="269"/>
        <w:gridCol w:w="269"/>
        <w:gridCol w:w="269"/>
        <w:gridCol w:w="392"/>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Basis Point Change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gross profit margin decreased to 44.4% in the first six months of 2026 from 46.0% in the first six months of 2025. The proportion of higher-margin aftermarket parts revenue decreased to 71% in 2026 compared to 73% in 2025. In addition, gross profit margins for both aftermarket parts and capital equipment products were adversely affected by the product mix within these categories. Gross profit margin in our Industrial Processing segment was negatively affected by the lower gross margin profile associated with recent acquisitions.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Within our reportable segments, gross profit margin:</w:t>
      </w:r>
    </w:p>
    <w:p>
      <w:pPr>
        <w:pStyle w:val="TextBody"/>
        <w:bidi w:val="0"/>
        <w:spacing w:lineRule="auto" w:line="288" w:before="100" w:after="60"/>
        <w:ind w:left="0" w:right="0" w:hanging="360"/>
        <w:jc w:val="left"/>
        <w:rPr/>
      </w:pPr>
      <w:r>
        <w:rPr>
          <w:color w:val="000000"/>
        </w:rPr>
        <w:t>•</w:t>
      </w:r>
      <w:r>
        <w:rPr>
          <w:rFonts w:ascii="Times New Roman;serif" w:hAnsi="Times New Roman;serif"/>
          <w:b w:val="false"/>
          <w:color w:val="000000"/>
          <w:sz w:val="20"/>
        </w:rPr>
        <w:t xml:space="preserve">Decreased to 52.6% at our Flow Control segment from 53.6% in the 2025 period primarily due to lower margins achieved on our parts and consumables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Decreased to 41.5% at our Industrial Processing segment from 43.3% in the 2025 period due to the lower gross margin profile associated with recent acquisitions. In addition, gross profit margin was impacted by lower margins achieved on our aftermarket products due in part to several large parts orders in the 2025 period. Gross margin was also negatively impacted by a decrease in the proportion of higher-margin parts and consumables product revenue, which decreased to 72% of revenue in the first six months of 2026 compared to 78% in the first six months of 2025.</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Decreased to 37.5% at our Material Handling segment from 38.2% in the 2025 period due to lower margins achieved on our capital equipment products.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expenses by reportable segment and Corporate in the first six months of 2026 and 2025 are as follows:</w:t>
      </w:r>
    </w:p>
    <w:tbl>
      <w:tblPr>
        <w:tblW w:w="9097" w:type="dxa"/>
        <w:jc w:val="left"/>
        <w:tblInd w:w="0" w:type="dxa"/>
        <w:tblLayout w:type="fixed"/>
        <w:tblCellMar>
          <w:top w:w="28" w:type="dxa"/>
          <w:left w:w="28" w:type="dxa"/>
          <w:bottom w:w="28" w:type="dxa"/>
          <w:right w:w="28" w:type="dxa"/>
        </w:tblCellMar>
      </w:tblPr>
      <w:tblGrid>
        <w:gridCol w:w="1254"/>
        <w:gridCol w:w="1102"/>
        <w:gridCol w:w="1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0"/>
        <w:gridCol w:w="290"/>
        <w:gridCol w:w="411"/>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b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Increase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Handling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as a 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Consolidated SG&amp;A expenses increased $19.0 million, or 13%, in the first six months of 2026 compared to the first six months of 2025, primarily due to the inclusion of $15.8 million of SG&amp;A expenses from acquisitions and an unfavorable impact from foreign currency translation of $3.9 million.</w:t>
      </w:r>
    </w:p>
    <w:p>
      <w:pPr>
        <w:pStyle w:val="TextBody"/>
        <w:bidi w:val="0"/>
        <w:spacing w:before="0" w:after="6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Within our reportable segments and Corporate, SG&amp;A expenses: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$1.6 million at our Flow Control segment due to a $2.1 million unfavorable impact from foreign currency translation, offset in part by a $0.5 million reduction in backlog amortization expense.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$14.7 million at our Industrial Processing segment principally due to $15.8 million of SG&amp;A expenses from acquisitions, partially offset by a $0.5 million reduction in bad debt expense.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Increased $1.2 million at our Material Handling segment primarily due to a $0.6 million unfavorable impact from foreign currency translation and incremental selling-related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$1.5 million at Corporate due to a benefit received in 2025 related to an intellectual property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to $9.8 million in the first six months of 2026 from $7.2 million in the first six months of 2025 due to higher borrowings under our revolving credit facility used to finance acquisitions during the second half of 2025 and first half of 2026, partially offset by a lower weighted-average interest rate. We expect interest expense to remain higher than prior-year levels for the remainder of 2026, primarily due to borrowings used to finance our April 2026 acquisition of Kadant Profil.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Provision for income taxes increased to $23.3 million in the first six months of 2026 from $17.7 million in the first six months of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of 28.4% in the first six months of 2026 was higher than our statutory rate of 21% primarily due to the distribution of our worldwide earnings, state taxes, and nondeductible expenses.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of 25.7% in the first six months of 2025 was higher than our statutory rate of 21% primarily due to nondeductible expenses, the distribution of our worldwide earnings, and state taxes. These items were offset in part by net excess income tax benefits from stock-based compensation arrangements.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increased to $58.7 million in the first six months of 2026 from $51.1 million in the first six months of 2025 primarily due to a $16.0 million increase in operating income, offset in part by a $2.6 million increase in interest expense and a $5.7 million increase in provision for income taxes (see discussions above for further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Non-GAAP Key Performance Indicators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measures prepared in accordance with GAAP, we use certain non-GAAP financial measures, including organic revenue (defined as revenue excluding the effect of acquisitions and foreign currency translation), adjusted operating income, earnings before interest, taxes, depreciation, and amortization (EBITDA), adjusted EBITDA, adjusted EBITDA margin (defined as adjusted EBITDA divided by revenue), and free cash flow (defined as cash flow provided by operations less capital expenditures).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use organic revenue to understand our trends and to forecast and evaluate our financial performance and compare revenue to prior periods (see discussion in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xml:space="preserve">above). Adjusted operating income, adjusted EBITDA, and adjusted EBITDA margin exclude amortization expense related to acquired intangible assets, profit in inventory, and backlog (collectively, purchase accounting expenses); acquisition costs; and other income or expense, as indicated. We exclude purchase accounting expenses and acquisition costs to provide a more meaningful and consistent comparison of our operating results over time and with peer companies. While we have a history of acquisition activity, such transactions do not occur on a predictable cycle, and the size and nature of these transactions will vary. We believe it is important for investors to understand that these intangible assets were recorded as part of purchase accounting and that they contribute to revenue generation. We also exclude other items when they are not indicative of our core operating results and are not comparable to other periods, which have differing levels of incremental costs, expenditures or income, or none at all. Additionally, we use free cash flow in order to provide insight on our ability to generate cash for acquisitions and debt repayments, as well as for other investing and financing activities.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these non-GAAP financial measures, when taken together with the corresponding GAAP financial measures, provide meaningful supplemental information regarding our performance by excluding certain items that may not be indicative of our core business, operating results, or future outlook. We believe that the inclusion of such measures helps investors gain an understanding of our underlying operating performance and future prospects, consistent with how management measures and forecasts our performance, especially when comparing such results to previous periods or forecasts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to the performance of our competitors. Such measures are also used by us in our financial and operating decision-making and for compensation purposes. We also believe this information is responsive to investors' requests and gives them additional measures of our performance.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non-GAAP financial measures are not meant to be considered superior to or a substitute for the results of operations or cash flows prepared in accordance with GAAP. In addition, our non-GAAP financial measures have limitations associated with their use as compared to the most directly comparable GAAP measures, in that they may be different from, and therefore not comparable to, similar measures used by other companies.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adjusted operating income, adjusted EBITDA, and adjusted EBITDA margin from net income attributable to Kadant is as follows: </w:t>
      </w:r>
    </w:p>
    <w:tbl>
      <w:tblPr>
        <w:tblW w:w="10205" w:type="dxa"/>
        <w:jc w:val="left"/>
        <w:tblInd w:w="0" w:type="dxa"/>
        <w:tblLayout w:type="fixed"/>
        <w:tblCellMar>
          <w:top w:w="28" w:type="dxa"/>
          <w:left w:w="28" w:type="dxa"/>
          <w:bottom w:w="28" w:type="dxa"/>
          <w:right w:w="28" w:type="dxa"/>
        </w:tblCellMar>
      </w:tblPr>
      <w:tblGrid>
        <w:gridCol w:w="1565"/>
        <w:gridCol w:w="1354"/>
        <w:gridCol w:w="1363"/>
        <w:gridCol w:w="109"/>
        <w:gridCol w:w="109"/>
        <w:gridCol w:w="109"/>
        <w:gridCol w:w="322"/>
        <w:gridCol w:w="338"/>
        <w:gridCol w:w="338"/>
        <w:gridCol w:w="164"/>
        <w:gridCol w:w="164"/>
        <w:gridCol w:w="164"/>
        <w:gridCol w:w="379"/>
        <w:gridCol w:w="338"/>
        <w:gridCol w:w="338"/>
        <w:gridCol w:w="109"/>
        <w:gridCol w:w="109"/>
        <w:gridCol w:w="109"/>
        <w:gridCol w:w="315"/>
        <w:gridCol w:w="427"/>
        <w:gridCol w:w="354"/>
        <w:gridCol w:w="145"/>
        <w:gridCol w:w="145"/>
        <w:gridCol w:w="145"/>
        <w:gridCol w:w="363"/>
        <w:gridCol w:w="380"/>
        <w:gridCol w:w="450"/>
      </w:tblGrid>
      <w:tr>
        <w:trPr/>
        <w:tc>
          <w:tcPr>
            <w:tcW w:w="156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4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Kadant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32,468</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57,977</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50,222</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23,324</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50,880</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90,989</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74,963</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Profit in Inventory Amortization Expense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Backlog Amortization Expense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Indemnification Asset Provision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Operating Income (d) </w:t>
            </w:r>
            <w:r>
              <w:rPr>
                <w:rFonts w:ascii="Times New Roman;serif" w:hAnsi="Times New Roman;serif"/>
                <w:b w:val="false"/>
                <w:i/>
                <w:color w:val="000000"/>
                <w:sz w:val="20"/>
              </w:rPr>
              <w:t xml:space="preserve">(non-GAAP measure)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61,186</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111,763</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89,448</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color w:val="000000"/>
              </w:rPr>
              <w:t xml:space="preserve"> </w:t>
            </w:r>
            <w:r>
              <w:rPr>
                <w:rFonts w:ascii="Times New Roman;serif" w:hAnsi="Times New Roman;serif"/>
                <w:b w:val="false"/>
                <w:i/>
                <w:color w:val="000000"/>
                <w:sz w:val="20"/>
              </w:rPr>
              <w:t>(non-GAAP measure)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68,104</w:t>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100,296</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i/>
                <w:color w:val="000000"/>
                <w:sz w:val="20"/>
              </w:rPr>
              <w:t>(non-GAAP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10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Represents amortization expense within cost of revenue associated with acquired profit in inventory.</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Represents intangible amortization expense associated with acquired backlog.</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Represents the net indemnification asset provision related to the establishment of tax reserves associated with uncertain tax positions.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 Reflects new methodology, announced on February 19, 2026, to exclude intangible amortization expense. </w:t>
      </w:r>
    </w:p>
    <w:p>
      <w:pPr>
        <w:pStyle w:val="TextBody"/>
        <w:bidi w:val="0"/>
        <w:spacing w:lineRule="auto" w:line="288" w:before="8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free cash flow from cash flow provided by operating activities is as follows: </w:t>
      </w:r>
    </w:p>
    <w:tbl>
      <w:tblPr>
        <w:tblW w:w="8772" w:type="dxa"/>
        <w:jc w:val="left"/>
        <w:tblInd w:w="0" w:type="dxa"/>
        <w:tblLayout w:type="fixed"/>
        <w:tblCellMar>
          <w:top w:w="28" w:type="dxa"/>
          <w:left w:w="28" w:type="dxa"/>
          <w:bottom w:w="28" w:type="dxa"/>
          <w:right w:w="28" w:type="dxa"/>
        </w:tblCellMar>
      </w:tblPr>
      <w:tblGrid>
        <w:gridCol w:w="1180"/>
        <w:gridCol w:w="1036"/>
        <w:gridCol w:w="103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Free Cash Flow </w:t>
            </w:r>
            <w:r>
              <w:rPr>
                <w:rFonts w:ascii="Times New Roman;serif" w:hAnsi="Times New Roman;serif"/>
                <w:b w:val="false"/>
                <w:i/>
                <w:color w:val="000000"/>
                <w:sz w:val="20"/>
              </w:rPr>
              <w:t>(non-GAAP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Includes $5.8 million paid in the second quarter of 2026 for the purchase of a previously leased manufacturing facility in the Flow Control segment.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ind w:left="0" w:right="0" w:firstLine="720"/>
        <w:jc w:val="left"/>
        <w:rPr/>
      </w:pPr>
      <w:r>
        <w:rPr>
          <w:rFonts w:ascii="Times New Roman;serif" w:hAnsi="Times New Roman;serif"/>
          <w:b w:val="false"/>
          <w:color w:val="000000"/>
          <w:sz w:val="20"/>
        </w:rPr>
        <w:t>Consolidated working capital was $356.7 million at July 4, 2026, compared with $313.8 million at January 3, 2026. Cash and cash equivalents were $134.5 million at July 4, 2026, compared with $119.6 million at January 3, 2026, which included cash and cash equivalents held by our foreign subsidiaries o</w:t>
      </w:r>
      <w:r>
        <w:rPr>
          <w:rFonts w:ascii="Times New Roman;serif" w:hAnsi="Times New Roman;serif"/>
          <w:b w:val="false"/>
          <w:color w:val="000000"/>
          <w:sz w:val="20"/>
          <w:shd w:fill="FFFFFF" w:val="clear"/>
        </w:rPr>
        <w:t xml:space="preserve">f $114.5 </w:t>
      </w:r>
      <w:r>
        <w:rPr>
          <w:rFonts w:ascii="Times New Roman;serif" w:hAnsi="Times New Roman;serif"/>
          <w:b w:val="false"/>
          <w:color w:val="000000"/>
          <w:sz w:val="20"/>
        </w:rPr>
        <w:t>million at July 4, 2026 and $100.3 million at January 3,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 </w:t>
      </w:r>
    </w:p>
    <w:p>
      <w:pPr>
        <w:pStyle w:val="TextBody"/>
        <w:bidi w:val="0"/>
        <w:spacing w:lineRule="auto" w:line="288"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information in the first six months of 2026 and 2025 is as follows:</w:t>
      </w:r>
    </w:p>
    <w:tbl>
      <w:tblPr>
        <w:tblW w:w="8586" w:type="dxa"/>
        <w:jc w:val="left"/>
        <w:tblInd w:w="0" w:type="dxa"/>
        <w:tblLayout w:type="fixed"/>
        <w:tblCellMar>
          <w:top w:w="28" w:type="dxa"/>
          <w:left w:w="28" w:type="dxa"/>
          <w:bottom w:w="28" w:type="dxa"/>
          <w:right w:w="28" w:type="dxa"/>
        </w:tblCellMar>
      </w:tblPr>
      <w:tblGrid>
        <w:gridCol w:w="2105"/>
        <w:gridCol w:w="1847"/>
        <w:gridCol w:w="1853"/>
        <w:gridCol w:w="109"/>
        <w:gridCol w:w="109"/>
        <w:gridCol w:w="109"/>
        <w:gridCol w:w="211"/>
        <w:gridCol w:w="721"/>
        <w:gridCol w:w="109"/>
        <w:gridCol w:w="109"/>
        <w:gridCol w:w="109"/>
        <w:gridCol w:w="109"/>
        <w:gridCol w:w="211"/>
        <w:gridCol w:w="721"/>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2025</w:t>
            </w:r>
          </w:p>
        </w:tc>
      </w:tr>
      <w:tr>
        <w:trPr/>
        <w:tc>
          <w:tcPr>
            <w:tcW w:w="5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 Effect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Operating Activities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increased to $75.4 million in the first six months of 2026 from $63.3 million in the first six months of 2025. Our operating cash flows are primarily generated from cash received from customers, offset by cash payments for items such as inventory, employee compensation, operating leases, income taxes, and interest payments on outstanding debt obligations.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operating cash outflows associated with working capital in the first six months of 2026 were primarily attributable to increases in accounts receivable and contract assets and decreases in customer deposits and other liabilities. Accounts receivable and contract assets used $9.7 million of cash, primarily due to the timing of billings and customer payments. Customer deposits used $7.5 million of cash, primarily due to the timing of capital equipment orders, and other liabilities used $8.4 million of cash, primarily related to incentive compensation payments.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cash outflows associated with working capital in the first six months of 2025 were primarily attributable to a decrease in other liabilities and an increase in inventory. Purchases of inventory used cash of $14.8 million, and other current liabilities used cash of $13.4 million primarily related to incentive compensation payments. These cash outflows were partially offset by customer deposits, which provided $9.4 million of cash due to higher capital equipment orders, and contract assets, which provided $7.7 million of cash primarily due to the timing of billings on contracts accounted for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Investing Activities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was $185.1 million in the first six months of 2026, compared with $6.9 million in the first six months of 2025. The increase in 2026 was primarily attributable to $171.8 million of acquisition consideration, net of cash acquired, including $170.1 million for the acquisition of Kadant Profil and $1.7 million of post-closing payments related to acquisitions completed in 2024. Capital expenditures increased to $14.2 million in the first six months of 2026, compared with $7.8 million in the first six months of 2025, primarily due to the purchase of a manufacturing facility that had previously been leased.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Financing Activities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 was $127.4 million in the first six months of 2026, compared with cash used of $61.5 million in the first six months of 2025. The increase in the first six months of 2026 primarily reflected higher net borrowings under our revolving credit facility, including borrowings of $190.9 million used primarily to finance the acquisition of Kadant Profil, partially offset by repayments of long-term obligations of $49.2 million. In the first six months of 2025, borrowings under our revolving credit facility were $8.0 million and repayments of long-term obligations were $56.9 million. Cash dividends paid to stockholders increased to $8.3 million in 2026, compared with $7.8 million in 2025. Taxes paid related to the vesting of equity awards decreased to $4.9 million in 2026, compared with $6.1 million in 2025.</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Exchange Rate Effect on Cash, Cash Equivalents, and Restricted Cash</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exchange rate effect on cash, cash equivalents, and restricted cash represents the impact of translation of cash balances at our foreign subsidiaries. The $2.8 million decrease in cash, cash equivalents, and restricted cash in the first six months of 2026 related to exchange rates was primarily attributable to the strengthening of the U.S. dollar against the euro and Swedish krona, offset in part by the weakening of the U.S. dollar against the Chinese renminbi. The $6.3 million increase in cash, cash equivalents, and restricted cash in the first six months of 2025 related to exchange rates was primarily attributable to the weakening of the U.S. dollar against the euro and, to a lesser extent, the Swedish krona and the Canadian dollar.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Borrowing Capacity and Debt Obligations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unsecured multi-currency revolving credit facility entered into on March 1, 2017 (as amended and restated to date, the Credit Agreement) matures on September 26, 2030 and has a borrowing capacity of $750.0 million.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we borrowed approximately $181.8 million of euro-denominated debt under our revolving credit facility to fund the acquisition of Kadant Profil. As of July 4, 2026, our outstanding balance under the Credit Agreement was $502.5 million, which included $245.5 million of euro-denominated borrowings, and we had $248.7 million of available committed borrowing capacity, in addition to a $200.0 million uncommitted, unsecured incremental borrowing facility. Under our debt agreements, our leverage ratio must be less than 3.75 to 1 or, if we elect, for the quarter during which a material acquisition occurs and for the three fiscal quarters thereafter, must be less than 4.25 to 1. As of July 4, 2026, our leverage ratio was 1.72 and we were in compliance with our debt covenants.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See </w:t>
      </w:r>
      <w:hyperlink w:anchor="i92d0b1c0abeb47668f3051b0d92b1a64_67">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Long-Term Obligations in the accompanying condensed consolidated financial statements for additional information regarding our debt obligations.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Additional Liquidity and Capital Resources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21, 2026, our board of directors approved the repurchase of up to $50.0 million of our equity securities during the period from May 21, 2026 to May 21, 2027. We did not repurchase any shares of our common stock under this authorization or under our previous authorization that expired on May 15, 2026.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paid cash dividends of $8.3 million in the first six months of 2026. On May 21, 2026, we declared a quarterly cash dividend of $0.36 per share totaling $4.3 million that will be paid on August 13, 2026. Future declarations of dividends are subject to our board of directors' approval and may be adjusted as business needs or market conditions change. The declaration of cash dividends is subject to our compliance with the covenant in our Credit Agreement related to our consolidated leverage ratio.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make expenditures of approximately $12.0 to $16.0 million during the remainder of 2026 for property, plant, and equipment.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July 4, 2026, we had approximately $150.3 million of total unremitted foreign earnings. It is our intent to indefinitely reinvest $93.8 million of these earnings to support the current and future capital needs of our foreign operations, including debt repayments, if any. In the first six months of 2026, we recorded withholding taxes on the earnings in certain foreign subsidiaries that we plan to repatriate in the foreseeable future. The foreign withholding taxes that would be required if we were to remit the indefinitely-reinvested foreign earnings to the United States would be approximately $2.9 million.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existing cash and cash equivalents, along with future cash generated from operations, and our existing borrowing capacity will be sufficient to meet the capital requirements of our operations for the next 12 months and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Application of Critical Accounting Policies and Estimates</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Management's discussion and analysis of financial condition and results of operations is based upon our condensed consolidated financial statements, which have been prepared in accordance with GAAP. The preparation of these condensed consolidated financial statements requires us to make estimates and assumptions that affect the reported amounts of assets and liabilities, disclosure of contingent liabilities, and the reported amounts of revenue and expenses during the reporting period. Our critical accounting policies are defined as those that entail significant judgments and uncertainties, and could potentially result in materially different results under different assumptions and conditions. Management evaluates its estimates on an ongoing basis based on historical experience, current economic and market conditions, and other assumptions management believes are reasonable. We believe that our most critical accounting policies which are significant to our consolidated financial statements, and which involve the most complex or subjective decisions or assessments, are those described in Management's Discussion and Analysis of Financial Condition and Results of Operations under the heading </w:t>
      </w:r>
      <w:r>
        <w:rPr>
          <w:rFonts w:ascii="Times New Roman;serif" w:hAnsi="Times New Roman;serif"/>
          <w:b w:val="false"/>
          <w:i/>
          <w:color w:val="000000"/>
          <w:sz w:val="20"/>
        </w:rPr>
        <w:t>Application of Critical Accounting Estimates</w:t>
      </w:r>
      <w:r>
        <w:rPr>
          <w:color w:val="000000"/>
        </w:rPr>
        <w:t xml:space="preserve"> </w:t>
      </w:r>
      <w:r>
        <w:rPr>
          <w:rFonts w:ascii="Times New Roman;serif" w:hAnsi="Times New Roman;serif"/>
          <w:b w:val="false"/>
          <w:color w:val="000000"/>
          <w:sz w:val="20"/>
        </w:rPr>
        <w:t>in Part II, Item 7, of our Annual Report. There have been no material changes to these critical accounting policies since the end of fiscal 2025 that warrant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See </w:t>
      </w:r>
      <w:hyperlink w:anchor="i92d0b1c0abeb47668f3051b0d92b1a64_43">
        <w:r>
          <w:rPr>
            <w:rStyle w:val="InternetLink"/>
            <w:rFonts w:ascii="Times New Roman;serif" w:hAnsi="Times New Roman;serif"/>
            <w:b w:val="false"/>
            <w:color w:val="0000FF"/>
            <w:sz w:val="20"/>
            <w:u w:val="single"/>
          </w:rPr>
          <w:t>Note 1</w:t>
        </w:r>
      </w:hyperlink>
      <w:r>
        <w:rPr>
          <w:rFonts w:ascii="Times New Roman;serif" w:hAnsi="Times New Roman;serif"/>
          <w:b w:val="false"/>
          <w:color w:val="000000"/>
          <w:sz w:val="20"/>
        </w:rPr>
        <w:t xml:space="preserve">, under the heading </w:t>
      </w:r>
      <w:r>
        <w:rPr>
          <w:rFonts w:ascii="Times New Roman;serif" w:hAnsi="Times New Roman;serif"/>
          <w:b w:val="false"/>
          <w:i/>
          <w:color w:val="000000"/>
          <w:sz w:val="20"/>
        </w:rPr>
        <w:t>Recent Accounting Pronouncements</w:t>
      </w:r>
      <w:r>
        <w:rPr>
          <w:rFonts w:ascii="Times New Roman;serif" w:hAnsi="Times New Roman;serif"/>
          <w:b w:val="false"/>
          <w:color w:val="000000"/>
          <w:sz w:val="20"/>
        </w:rPr>
        <w:t>, in the accompanying condensed consolidated financial statements for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3 – Quantitative and Qualitative Disclosures About Market Risk</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from changes in interest rates and foreign currency exchange rates has not changed materially from our exposure as disclosed in Part II, Item 7A,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4 – Controls and Procedures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Chief Executive Officer and Chief Financial Officer, evaluated the effectiveness of our disclosure controls and procedures as of July 4, 2026. The term "disclosure controls and procedures," as defined in Securities Exchange Act Rules 13a-15(e) and 15d-15(e),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of our disclosure controls and procedures as of July 4, 2026, our Chief Executive Officer and Chief Financial Officer concluded that as of July 4, 2026,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Management's assessment of the effectiveness of internal control over financial reporting includes internal controls over financial reporting systems and internal processes at Clyde Industries and Babbini, which were excluded from management's assessment in 2025. There have not been any changes in our internal control over financial reporting (as defined in Rules 13a-15(f) and 15d-15(f) under the Securities Exchange Act of 1934, as amended) during the fiscal quarter ended July 4, 2026 that have materially affected, or are reasonably likely to materially affect, our internal control over financial reporting.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1A – Risk Factors</w:t>
      </w:r>
    </w:p>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Careful consideration should be given to the factors discussed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in our Annual Report for the fiscal year ended January 3, 2026, which could materially affect our business, financial condition or future results, in addition to the information set forth in this Quarterly Report on Form 10-Q. Except for the revised risk factor below regarding "</w:t>
      </w:r>
      <w:r>
        <w:rPr>
          <w:rFonts w:ascii="Times New Roman;serif" w:hAnsi="Times New Roman;serif"/>
          <w:b w:val="false"/>
          <w:i/>
          <w:color w:val="000000"/>
          <w:sz w:val="20"/>
        </w:rPr>
        <w:t>Operating globally subjects us to changes in government regulations and policies in multiple jurisdictions around the world, including those related to tariffs and trade barriers, taxation, exchange controls and political risks,</w:t>
      </w:r>
      <w:r>
        <w:rPr>
          <w:rFonts w:ascii="Times New Roman;serif" w:hAnsi="Times New Roman;serif"/>
          <w:b w:val="false"/>
          <w:color w:val="000000"/>
          <w:sz w:val="20"/>
        </w:rPr>
        <w:t xml:space="preserve">" there have been no material changes from the risk factors disclosed in our Annual Report.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globally subjects us to changes in government regulations and policies in multiple jurisdictions around the world, including those related to tariffs and trade barriers, taxation, exchange controls and political risks.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government policies, political unrest, economic sanctions, trade embargoes, or other adverse trade regulations can negatively impact our business. Non-U.S. markets contribute a substantial portion of our revenues, and we intend to continue expanding our presence in these regions. For example, we operate businesses in Mexico and Canada and benefit from the United States-Mexico-Canada Agreement (USMCA). On July 1, 2026, the Office of the United States Trade Representative (USTR) announced that the United States does not agree to renewal of USMCA in its current form, triggering an annual review process that may result in modifications of the agreement. If the United States were to withdraw from or materially modify the USMCA or impose significant tariffs or taxes on goods imported into the United States, the cost of our products could significantly increase or no longer be priced competitively, which in turn could have a material adverse effect on our business and results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Trump Administration imposed a series of tariffs against U.S. trading partners pursuant to the International Emergency Economic Powers Act (IEEPA). On February 20, 2026, the Supreme Court ruled these tariffs unlawful. The Trump Administration immediately imposed new global tariffs pursuant to Section 122 of the Trade Act of 1974, which allows for tariffs of up to 15% for a period of up to 150 days. The Section 122 tariffs expired on July 24, 2026. On the same day, USTR imposed new tariffs of 10% or 12.5% on 60 trading partners under Section 301 of the Trade Act of 1974. In July 2026, the United States imposed tariffs of 50% on certain imports from Canada under Section 338 of the Tariff Act of 1930. Our business has been negatively affected by these tariffs, and the timing and availability of refunds is uncertain. We may be negatively affected in the future by the quickly evolving tariff situation and the economic uncertainty created thereby.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also affected by various product or sector-specific tariffs that the United States imposes on trading partners. Certain products imported from China, including pulp and paper machinery, are subject to tariffs imposed by USTR, pursuant to Section 301 of the Trade Act of 1974. The tariffs on pulp and paper machinery are set at 25%. In addition, the U.S. Department of Commerce has imposed tariffs of 50% on numerous categories of steel, aluminum, and copper products, under Section 232 of the Trade Expansion Act of 1962, and has expanded these tariffs to include certain derivative products subject to a 25% tariff. We import products that are impacted by these tariffs. While we try to mitigate the impact of the existing and other proposed tariffs by the Trump Administration, we cannot be certain if our actions will be successful. The tariffs have and could in the future negatively affect our ability to compete against competitors who do not manufacture in China and/or are not subject to the tariffs.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has tightened trade sanctions targeting countries like China and Russia. For example, since 2018 the United States has imposed various trade and economic sanctions targeting certain persons in Russia and certain types of business with Russia. The United States has continued to expand export control restrictions applicable to certain Chinese firms and continued its assessment of new controls for "emerging foundational technologies," escalating U.S.-China tension concerning technology. Moreover, tensions between the United States and China have increased and future actions by the United States or Chinese governments may impact our operations in and imports from China, as well as sales to and from China. In response, Russia and China have begun considering and, in some cases, implementing trade sanctions that could affect U.S.-owned businesses. The imposition of trade sanctions has and may in the future continue to make it generally more difficult to do business in Russia and China and cause delays or prevent shipment of products or services performed by our personnel, or to receive payment for products or services.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military conflict between Russia and Ukraine and the global response to it has and may in the future adversely impact our revenues, gross margins and financial results. The United States, the European Union, and many other countries have imposed sanctions on Russia, individuals in Russia and Russian businesses, including several large banks. In 2025, our sales to Russia were minimal at $1.9 million. As a result of the international sanctions regime in place against Russia, it has become extremely difficult to sell any of our equipment or services into Russia. Any proposed sales into Russia are evaluated on a case-by-case basis, taking into account the risks related to the sale, the costs associated with ensuring compliance with applicable sanctions and the likelihood of receiving payment from either party's banks.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Such geopolitical instability and uncertainty has and could continue to have in the future a negative impact on our ability to sell to, ship products to, collect payments from, and support customers in certain regions based on trade restrictions, embargoes and export control law restrictions, and logistics restrictions, and could increase the costs, risks and adverse impacts from these new challenges. The conflict between Russia and Ukraine, as well as other conflicts such as those in the Middle East, may also have the effect of heightening other risks disclosed in our Annual Report, any of which could materially and adversely affect our business and results of operations. Such risks include, but are not limited to, adverse effects on macroeconomic conditions, including inflation and business and consumer spending; disruptions to our global technology infrastructure, including through cyberattack, ransomware attack, or cyber-intrusion; adverse changes in international trade policies and relations; our ability to maintain or increase our prices, including any fuel surcharges in response to rising fuel costs; the energy crisis resulting from the Russia-Ukraine conflict, particularly in Europe; our ability to implement and execute our business strategy; disruptions in global supply chains; our exposure to foreign currency fluctuations; and constraints, volatility, or disruption in the capital markets. Such restrictions have and may in the future continue to have a material adverse impact on our business and operating results.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Item 5 – Other Information</w:t>
      </w:r>
    </w:p>
    <w:p>
      <w:pPr>
        <w:pStyle w:val="TextBody"/>
        <w:bidi w:val="0"/>
        <w:spacing w:lineRule="auto" w:line="288" w:before="1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Insider Trading Arrangements </w:t>
      </w:r>
    </w:p>
    <w:p>
      <w:pPr>
        <w:pStyle w:val="TextBody"/>
        <w:bidi w:val="0"/>
        <w:spacing w:lineRule="auto" w:line="288" w:before="100" w:after="283"/>
        <w:ind w:left="0" w:right="0" w:firstLine="720"/>
        <w:jc w:val="left"/>
        <w:rPr/>
      </w:pPr>
      <w:r>
        <w:rPr>
          <w:rFonts w:ascii="Times New Roman;serif" w:hAnsi="Times New Roman;serif"/>
          <w:b w:val="false"/>
          <w:color w:val="000000"/>
          <w:sz w:val="20"/>
          <w:shd w:fill="FFFFFF" w:val="clear"/>
        </w:rPr>
        <w:t xml:space="preserve">None of our directors or officers adopted or terminated a Rule 10b5-1 trading arrangement or adopted or terminated a non-Rule 10b5-1 trading arrangement (as defined in Item 408(c) of Regulation S-K) during the quarter ended </w:t>
      </w:r>
      <w:r>
        <w:rPr>
          <w:rFonts w:ascii="Times New Roman;serif" w:hAnsi="Times New Roman;serif"/>
          <w:b w:val="false"/>
          <w:color w:val="000000"/>
          <w:sz w:val="20"/>
        </w:rPr>
        <w:t>July 4, 2026.</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6 –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
        <w:gridCol w:w="286"/>
        <w:gridCol w:w="289"/>
        <w:gridCol w:w="109"/>
        <w:gridCol w:w="109"/>
        <w:gridCol w:w="109"/>
        <w:gridCol w:w="2743"/>
        <w:gridCol w:w="2580"/>
        <w:gridCol w:w="365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Exhibit</w:t>
            </w:r>
          </w:p>
        </w:tc>
      </w:tr>
      <w:tr>
        <w:trPr/>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kaiform10q2q2026ex311.htm">
              <w:r>
                <w:rPr>
                  <w:rStyle w:val="InternetLink"/>
                  <w:rFonts w:ascii="Times New Roman;serif" w:hAnsi="Times New Roman;serif"/>
                  <w:b w:val="false"/>
                  <w:color w:val="0000FF"/>
                  <w:sz w:val="20"/>
                  <w:u w:val="single"/>
                </w:rPr>
                <w:t>Certification of the Principal Executive Officer of the Registrant Pursuant to Rule 13a-14(a) and Rule 15d-14(a) of the Securities Exchange Act of 1934, as amended.</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kaiform10q2q2026ex312.htm">
              <w:r>
                <w:rPr>
                  <w:rStyle w:val="InternetLink"/>
                  <w:rFonts w:ascii="Times New Roman;serif" w:hAnsi="Times New Roman;serif"/>
                  <w:b w:val="false"/>
                  <w:color w:val="0000FF"/>
                  <w:sz w:val="20"/>
                  <w:u w:val="single"/>
                </w:rPr>
                <w:t>Certification of the Principal Financial Officer of the Registrant Pursuant to Rule 13a-14(a) and Rule 15d-14(a) of the Securities Exchange Act of 1934, as amended.</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kaiform10q2q2026ex32.htm">
              <w:r>
                <w:rPr>
                  <w:rStyle w:val="InternetLink"/>
                  <w:rFonts w:ascii="Times New Roman;serif" w:hAnsi="Times New Roman;serif"/>
                  <w:b w:val="false"/>
                  <w:color w:val="0000FF"/>
                  <w:sz w:val="20"/>
                  <w:u w:val="single"/>
                </w:rPr>
                <w:t>Certification of the Chief Executive Officer and the Chief Financial Officer of the Registrant Pursuant to 18 U.S.C. Section 1350, as Adopted Pursuant to Section 906 of the Sarbanes-Oxley Act of 2002.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92d0b1c0abeb47668f3051b0d92b1a64_7">
        <w:r>
          <w:rPr>
            <w:rStyle w:val="InternetLink"/>
            <w:rFonts w:ascii="Times New Roman;serif" w:hAnsi="Times New Roman;serif"/>
            <w:b w:val="false"/>
            <w:i/>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6390" w:type="dxa"/>
        <w:jc w:val="left"/>
        <w:tblInd w:w="0" w:type="dxa"/>
        <w:tblLayout w:type="fixed"/>
        <w:tblCellMar>
          <w:top w:w="28" w:type="dxa"/>
          <w:left w:w="28" w:type="dxa"/>
          <w:bottom w:w="28" w:type="dxa"/>
          <w:right w:w="28" w:type="dxa"/>
        </w:tblCellMar>
      </w:tblPr>
      <w:tblGrid>
        <w:gridCol w:w="705"/>
        <w:gridCol w:w="621"/>
        <w:gridCol w:w="624"/>
        <w:gridCol w:w="1299"/>
        <w:gridCol w:w="1299"/>
        <w:gridCol w:w="184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KADANT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McKenney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Jeffrey L. Powell,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July 4, 2026 of Kadant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60" w:type="dxa"/>
        <w:jc w:val="center"/>
        <w:tblInd w:w="0" w:type="dxa"/>
        <w:tblLayout w:type="fixed"/>
        <w:tblCellMar>
          <w:top w:w="28" w:type="dxa"/>
          <w:left w:w="28" w:type="dxa"/>
          <w:bottom w:w="28" w:type="dxa"/>
          <w:right w:w="28" w:type="dxa"/>
        </w:tblCellMar>
      </w:tblPr>
      <w:tblGrid>
        <w:gridCol w:w="705"/>
        <w:gridCol w:w="621"/>
        <w:gridCol w:w="624"/>
        <w:gridCol w:w="936"/>
        <w:gridCol w:w="936"/>
        <w:gridCol w:w="133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L. Powell</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L. Powell</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J. McKenney,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ended July 4, 2026 of Kadant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389" w:type="dxa"/>
        <w:jc w:val="center"/>
        <w:tblInd w:w="0" w:type="dxa"/>
        <w:tblLayout w:type="fixed"/>
        <w:tblCellMar>
          <w:top w:w="28" w:type="dxa"/>
          <w:left w:w="28" w:type="dxa"/>
          <w:bottom w:w="28" w:type="dxa"/>
          <w:right w:w="28" w:type="dxa"/>
        </w:tblCellMar>
      </w:tblPr>
      <w:tblGrid>
        <w:gridCol w:w="705"/>
        <w:gridCol w:w="621"/>
        <w:gridCol w:w="624"/>
        <w:gridCol w:w="1297"/>
        <w:gridCol w:w="1297"/>
        <w:gridCol w:w="18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Michael J. McKenney</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Jeffrey L. Powell, Chief Executive Officer, and Michael J. McKenney, Chief Financial Officer, of Kadant Inc., a Delaware corporation (the "Company"), do hereby certify, to our best knowledge and belief, that: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period ended July 4, 2026 of the Company fully complies with the requirements of Section 13(a) or 15(d) of the Securities Exchange Act of 1934, as amended (the "Exchange Act") and the information contained in this Quarterly Report fairly presents, in all material respects, the financial condition and results of operations of the Company. </w:t>
      </w:r>
    </w:p>
    <w:tbl>
      <w:tblPr>
        <w:tblW w:w="6494" w:type="dxa"/>
        <w:jc w:val="center"/>
        <w:tblInd w:w="0" w:type="dxa"/>
        <w:tblLayout w:type="fixed"/>
        <w:tblCellMar>
          <w:top w:w="28" w:type="dxa"/>
          <w:left w:w="28" w:type="dxa"/>
          <w:bottom w:w="28" w:type="dxa"/>
          <w:right w:w="28" w:type="dxa"/>
        </w:tblCellMar>
      </w:tblPr>
      <w:tblGrid>
        <w:gridCol w:w="743"/>
        <w:gridCol w:w="653"/>
        <w:gridCol w:w="659"/>
        <w:gridCol w:w="1294"/>
        <w:gridCol w:w="1294"/>
        <w:gridCol w:w="1851"/>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L. Powell</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L. Powell</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McKenney</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This certification accompanies this Quarterly Report on Form 10-Q pursuant to Section 906 of the Sarbanes-Oxley Act of 2002 and shall not, except to the extent required by such Act, be deemed filed by the Company for purposes of Section 18 of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19052</Words>
  <Characters>107758</Characters>
  <CharactersWithSpaces>125279</CharactersWithSpaces>
  <Paragraphs>2875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